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1A29" w:rsidRDefault="00A51A29" w:rsidP="00A51A29">
      <w:r>
        <w:t>Date</w:t>
      </w:r>
      <w:r w:rsidR="0086101A">
        <w:t>: May 12</w:t>
      </w:r>
      <w:r w:rsidR="002F0F71">
        <w:t>, 2014</w:t>
      </w:r>
    </w:p>
    <w:p w:rsidR="00072D70" w:rsidRPr="001E0EAF" w:rsidRDefault="00072D70" w:rsidP="00072D70">
      <w:pPr>
        <w:pStyle w:val="Return"/>
      </w:pPr>
      <w:r>
        <w:t>City of New Bedford</w:t>
      </w:r>
    </w:p>
    <w:p w:rsidR="00072D70" w:rsidRPr="001E0EAF" w:rsidRDefault="00072D70" w:rsidP="00072D70">
      <w:pPr>
        <w:pStyle w:val="Return"/>
      </w:pPr>
      <w:r>
        <w:t>133 William Street, Room 304</w:t>
      </w:r>
    </w:p>
    <w:p w:rsidR="00072D70" w:rsidRDefault="00072D70" w:rsidP="00072D70">
      <w:pPr>
        <w:pStyle w:val="Return"/>
      </w:pPr>
      <w:r>
        <w:t>New Bedford, MA 02740</w:t>
      </w:r>
    </w:p>
    <w:p w:rsidR="00A51A29" w:rsidRDefault="00072D70" w:rsidP="00A51A29">
      <w:r>
        <w:t>ATTN: Sarah Porter</w:t>
      </w:r>
    </w:p>
    <w:p w:rsidR="00A51A29" w:rsidRDefault="002F0F71" w:rsidP="00A51A29">
      <w:r>
        <w:t xml:space="preserve">Re:  </w:t>
      </w:r>
      <w:proofErr w:type="spellStart"/>
      <w:r>
        <w:t>Sassaquin</w:t>
      </w:r>
      <w:proofErr w:type="spellEnd"/>
      <w:r>
        <w:t xml:space="preserve"> Pond Total Phosphorus Study</w:t>
      </w:r>
      <w:r w:rsidR="00A51A29">
        <w:br/>
      </w:r>
    </w:p>
    <w:p w:rsidR="00A51A29" w:rsidRDefault="002F0F71" w:rsidP="00A51A29">
      <w:r>
        <w:t>Dear Sarah</w:t>
      </w:r>
      <w:r w:rsidR="00A51A29">
        <w:t>:</w:t>
      </w:r>
    </w:p>
    <w:p w:rsidR="00072D70" w:rsidRDefault="00072D70" w:rsidP="00A51A29">
      <w:r>
        <w:t xml:space="preserve">Normandeau is pleased to provide you with the results of our 2013 total phosphorus study </w:t>
      </w:r>
      <w:r w:rsidR="00937EB1">
        <w:t xml:space="preserve">of </w:t>
      </w:r>
      <w:proofErr w:type="spellStart"/>
      <w:r w:rsidR="00937EB1">
        <w:t>Sassaquin</w:t>
      </w:r>
      <w:proofErr w:type="spellEnd"/>
      <w:r w:rsidR="00937EB1">
        <w:t xml:space="preserve"> Pond.  First, we</w:t>
      </w:r>
      <w:r>
        <w:t xml:space="preserve"> present the monthly data that we collected from June through November 2013.  Then, we provide a discussion of those data and an assessment of significance relative to </w:t>
      </w:r>
      <w:proofErr w:type="spellStart"/>
      <w:r>
        <w:t>Sass</w:t>
      </w:r>
      <w:r w:rsidR="00937EB1">
        <w:t>aquin</w:t>
      </w:r>
      <w:proofErr w:type="spellEnd"/>
      <w:r w:rsidR="00937EB1">
        <w:t xml:space="preserve"> Pond water quality.  We</w:t>
      </w:r>
      <w:r>
        <w:t xml:space="preserve"> end </w:t>
      </w:r>
      <w:r w:rsidR="00937EB1">
        <w:t xml:space="preserve">with </w:t>
      </w:r>
      <w:r w:rsidR="00EC2629">
        <w:t xml:space="preserve">conclusions and </w:t>
      </w:r>
      <w:r>
        <w:t>some recommendations for future study to better understand the phosphorus regime in the pond.</w:t>
      </w:r>
    </w:p>
    <w:p w:rsidR="00F634B9" w:rsidRPr="00F634B9" w:rsidRDefault="00F634B9" w:rsidP="00A51A29">
      <w:pPr>
        <w:rPr>
          <w:b/>
        </w:rPr>
      </w:pPr>
      <w:r>
        <w:rPr>
          <w:b/>
        </w:rPr>
        <w:t>BACKGROUND</w:t>
      </w:r>
    </w:p>
    <w:p w:rsidR="00072D70" w:rsidRDefault="00937EB1" w:rsidP="00A51A29">
      <w:proofErr w:type="spellStart"/>
      <w:r>
        <w:t>Sassaquin</w:t>
      </w:r>
      <w:proofErr w:type="spellEnd"/>
      <w:r>
        <w:t xml:space="preserve"> Pond is a 38.4 acre</w:t>
      </w:r>
      <w:r w:rsidR="00C45E0D">
        <w:t xml:space="preserve"> (15.5 hectare)</w:t>
      </w:r>
      <w:r>
        <w:t xml:space="preserve"> </w:t>
      </w:r>
      <w:proofErr w:type="spellStart"/>
      <w:r>
        <w:t>kettlehole</w:t>
      </w:r>
      <w:proofErr w:type="spellEnd"/>
      <w:r>
        <w:t xml:space="preserve"> pond located in New Bedford, MA (Figure 1).  </w:t>
      </w:r>
      <w:r w:rsidR="00C45E0D">
        <w:t xml:space="preserve">With an estimated volume (based on bathymetry provide in </w:t>
      </w:r>
      <w:proofErr w:type="spellStart"/>
      <w:r w:rsidR="00C45E0D">
        <w:t>Baystate</w:t>
      </w:r>
      <w:proofErr w:type="spellEnd"/>
      <w:r w:rsidR="00C45E0D">
        <w:t xml:space="preserve"> 1987</w:t>
      </w:r>
      <w:r w:rsidR="00EC2629">
        <w:rPr>
          <w:rStyle w:val="FootnoteReference"/>
        </w:rPr>
        <w:footnoteReference w:id="1"/>
      </w:r>
      <w:r w:rsidR="00C45E0D">
        <w:t xml:space="preserve">) of 19,320, </w:t>
      </w:r>
      <w:r w:rsidR="00C45E0D" w:rsidRPr="00C45E0D">
        <w:t>640</w:t>
      </w:r>
      <w:r w:rsidR="00C45E0D">
        <w:t xml:space="preserve"> ft</w:t>
      </w:r>
      <w:r w:rsidR="00C45E0D">
        <w:rPr>
          <w:vertAlign w:val="superscript"/>
        </w:rPr>
        <w:t>3</w:t>
      </w:r>
      <w:r w:rsidR="00C45E0D">
        <w:t xml:space="preserve"> (</w:t>
      </w:r>
      <w:r w:rsidR="00C45E0D" w:rsidRPr="00C45E0D">
        <w:t>547</w:t>
      </w:r>
      <w:r w:rsidR="00C45E0D">
        <w:t>,200 m</w:t>
      </w:r>
      <w:r w:rsidR="00C45E0D">
        <w:rPr>
          <w:vertAlign w:val="superscript"/>
        </w:rPr>
        <w:t>3</w:t>
      </w:r>
      <w:r w:rsidR="00C45E0D">
        <w:t xml:space="preserve">) and a mean depth of 11.6 </w:t>
      </w:r>
      <w:proofErr w:type="spellStart"/>
      <w:r w:rsidR="00C45E0D">
        <w:t>ft</w:t>
      </w:r>
      <w:proofErr w:type="spellEnd"/>
      <w:r w:rsidR="00C45E0D">
        <w:t xml:space="preserve"> (3.5 m).  The pond has no permanent, natural inlets or outlet, but there are numerous stormwater inflow pipes and one overflow outlet pipe.  </w:t>
      </w:r>
      <w:r w:rsidR="00B506AA">
        <w:t>In recent years, the pond has reportedly experienced algal blooms of increasing frequency and severity, especially in the fa</w:t>
      </w:r>
      <w:r w:rsidR="0047335C">
        <w:t>ll.  Fall algal blooms can be</w:t>
      </w:r>
      <w:r w:rsidR="00B506AA">
        <w:t xml:space="preserve"> triggered by cooling lake temperatures that lead</w:t>
      </w:r>
      <w:r w:rsidR="0047335C">
        <w:t>s</w:t>
      </w:r>
      <w:r w:rsidR="00B506AA">
        <w:t xml:space="preserve"> to and ultimately result</w:t>
      </w:r>
      <w:r w:rsidR="0047335C">
        <w:t>s</w:t>
      </w:r>
      <w:r w:rsidR="00B506AA">
        <w:t xml:space="preserve"> in “fall overturn”</w:t>
      </w:r>
      <w:r w:rsidR="006539FF">
        <w:t xml:space="preserve"> with</w:t>
      </w:r>
      <w:r w:rsidR="00B506AA">
        <w:t xml:space="preserve"> the </w:t>
      </w:r>
      <w:r w:rsidR="006539FF">
        <w:t>associated entrainment of nutrient-</w:t>
      </w:r>
      <w:r w:rsidR="00B506AA">
        <w:t xml:space="preserve">enriched hypolimnetic waters </w:t>
      </w:r>
      <w:r w:rsidR="001543C0">
        <w:t>into a</w:t>
      </w:r>
      <w:r w:rsidR="006539FF">
        <w:t xml:space="preserve"> deepen</w:t>
      </w:r>
      <w:r w:rsidR="001543C0">
        <w:t xml:space="preserve">ing epilimnion.  It was postulated that the same process could be leading to fall algal blooms in </w:t>
      </w:r>
      <w:proofErr w:type="spellStart"/>
      <w:r w:rsidR="001543C0">
        <w:t>Sassaquin</w:t>
      </w:r>
      <w:proofErr w:type="spellEnd"/>
      <w:r w:rsidR="001543C0">
        <w:t xml:space="preserve"> Pond, so the purpose of this study was to document </w:t>
      </w:r>
      <w:r w:rsidR="00540E3E">
        <w:t xml:space="preserve">the </w:t>
      </w:r>
      <w:r w:rsidR="001543C0">
        <w:t xml:space="preserve">total phosphorus </w:t>
      </w:r>
      <w:r w:rsidR="00540E3E">
        <w:t>regime over the course of a summer/fall season.</w:t>
      </w:r>
    </w:p>
    <w:p w:rsidR="00540E3E" w:rsidRDefault="008E2813" w:rsidP="00A51A29">
      <w:r>
        <w:t>We</w:t>
      </w:r>
      <w:r w:rsidR="00540E3E">
        <w:t xml:space="preserve"> sampled the pond once per month from late June until mid-November.  </w:t>
      </w:r>
      <w:r w:rsidR="009C234F">
        <w:t xml:space="preserve">Sampling was conducted in the same location for each event which was in the approximate deepest part of the pond (see Figure 1).  </w:t>
      </w:r>
      <w:r w:rsidR="00540E3E">
        <w:t xml:space="preserve">During each sampling event, we measured dissolved </w:t>
      </w:r>
      <w:r w:rsidR="0047335C">
        <w:t xml:space="preserve">oxygen </w:t>
      </w:r>
      <w:r w:rsidR="00540E3E">
        <w:t xml:space="preserve">and temperature at one-meter intervals, top </w:t>
      </w:r>
      <w:r w:rsidR="0047335C">
        <w:t>to bottom.  In addition, we</w:t>
      </w:r>
      <w:r w:rsidR="00540E3E">
        <w:t xml:space="preserve"> collected discrete water samples from the epilimnion and hypolimnion for laboratory analysis for t</w:t>
      </w:r>
      <w:r w:rsidR="0047335C">
        <w:t>otal phosphorus.  The epilimnion</w:t>
      </w:r>
      <w:r w:rsidR="00540E3E">
        <w:t xml:space="preserve"> </w:t>
      </w:r>
      <w:r>
        <w:t xml:space="preserve">sample </w:t>
      </w:r>
      <w:r w:rsidR="00540E3E">
        <w:t xml:space="preserve">was collected </w:t>
      </w:r>
      <w:r w:rsidR="00F634B9">
        <w:t xml:space="preserve">by </w:t>
      </w:r>
      <w:r w:rsidR="00540E3E">
        <w:t xml:space="preserve">4 to 5 m </w:t>
      </w:r>
      <w:r>
        <w:t xml:space="preserve">epilimnetic </w:t>
      </w:r>
      <w:r w:rsidR="00540E3E">
        <w:t xml:space="preserve">core while the hypolimnion sample was collect from a single location, approximately 1 m from the bottom.  </w:t>
      </w:r>
      <w:r>
        <w:t xml:space="preserve">Samples </w:t>
      </w:r>
      <w:r w:rsidR="00F634B9">
        <w:t>containers and samples were delivered and picked up at our Falmouth, MA office by courier from Alpha An</w:t>
      </w:r>
      <w:r w:rsidR="003810DB">
        <w:t>alytical of Westborough, MA which was the</w:t>
      </w:r>
      <w:r w:rsidR="00F634B9">
        <w:t xml:space="preserve"> laboratory that did the total phosphorus analyses.</w:t>
      </w:r>
    </w:p>
    <w:p w:rsidR="0047335C" w:rsidRDefault="0047335C" w:rsidP="00A51A29"/>
    <w:p w:rsidR="00134691" w:rsidRDefault="00134691" w:rsidP="00134691">
      <w:pPr>
        <w:ind w:left="360"/>
      </w:pPr>
      <w:r>
        <w:rPr>
          <w:noProof/>
        </w:rPr>
        <w:drawing>
          <wp:inline distT="0" distB="0" distL="0" distR="0">
            <wp:extent cx="5791200" cy="7395373"/>
            <wp:effectExtent l="0" t="0" r="0" b="0"/>
            <wp:docPr id="1" name="Picture 1" descr="H:\Sassaquin Pond Phosphorus\Sassaquin sampling locatio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assaquin Pond Phosphorus\Sassaquin sampling location.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813406" cy="7423730"/>
                    </a:xfrm>
                    <a:prstGeom prst="rect">
                      <a:avLst/>
                    </a:prstGeom>
                    <a:noFill/>
                    <a:ln>
                      <a:noFill/>
                    </a:ln>
                  </pic:spPr>
                </pic:pic>
              </a:graphicData>
            </a:graphic>
          </wp:inline>
        </w:drawing>
      </w:r>
    </w:p>
    <w:p w:rsidR="0047335C" w:rsidRDefault="00134691" w:rsidP="0047335C">
      <w:proofErr w:type="gramStart"/>
      <w:r>
        <w:t>Figure 1.</w:t>
      </w:r>
      <w:proofErr w:type="gramEnd"/>
      <w:r>
        <w:t xml:space="preserve">  </w:t>
      </w:r>
      <w:proofErr w:type="spellStart"/>
      <w:r>
        <w:t>Sassaquin</w:t>
      </w:r>
      <w:proofErr w:type="spellEnd"/>
      <w:r>
        <w:t xml:space="preserve"> Pond Location Map</w:t>
      </w:r>
      <w:r w:rsidR="0047335C">
        <w:br w:type="page"/>
      </w:r>
    </w:p>
    <w:p w:rsidR="0047335C" w:rsidRDefault="0047335C" w:rsidP="0047335C">
      <w:pPr>
        <w:rPr>
          <w:b/>
        </w:rPr>
      </w:pPr>
      <w:r>
        <w:rPr>
          <w:b/>
        </w:rPr>
        <w:t>RESULTS</w:t>
      </w:r>
    </w:p>
    <w:p w:rsidR="0047335C" w:rsidRDefault="0047335C" w:rsidP="0047335C">
      <w:r w:rsidRPr="00893BD6">
        <w:rPr>
          <w:b/>
          <w:u w:val="single"/>
        </w:rPr>
        <w:t>Temperature and dissolved oxygen</w:t>
      </w:r>
      <w:r>
        <w:rPr>
          <w:b/>
          <w:u w:val="single"/>
        </w:rPr>
        <w:t>.</w:t>
      </w:r>
      <w:r>
        <w:t xml:space="preserve">  Results of our monthly dissolved oxygen and temperature measurements are provided in Figure 2.  As expected, there were significant differences in both parameters between surface and bottom waters.  During the late June sampling event, temperature near the surface was more than 27°C (~81°F), but temperature dropped rapidly and steadily below 1 m to about 13°C (55°F) near the bottom, indicating substantial and stable thermal stratification.  Temperature at 4 m was a bit less than 21°C (~70°F).  Dissolved oxygen displayed similar trends, with concentrations ranging from approximately 7 to more than 9 mg/l in the upper 3 m, then dropping rapidly to 1 mg/l or less from 5 m below the surface to the bottom at a depth of slightly more than 7 m.  </w:t>
      </w:r>
    </w:p>
    <w:p w:rsidR="0047335C" w:rsidRDefault="0047335C" w:rsidP="0047335C">
      <w:r>
        <w:t>By mid-July, the surface temperature was measured at slightly greater than 28°C (~82°F) and was in excess of 26°C (~79°F) down to 3 m.  Below 3 m, temperature again declined rapidly to approximately 12°C (~54°F) near the bottom.  Temperature at 4 m had risen to 24°C (~75°F).  Dissolved oxygen concentrations were similar to June’s measurements.  Levels were uniformly at ~8 mg/l in the upper 3 m of the water column and essential at zero below 6 m.  At 5 m, dissolved oxygen remained at June’s levels, about 1 mg/l.</w:t>
      </w:r>
    </w:p>
    <w:p w:rsidR="0047335C" w:rsidRDefault="0047335C" w:rsidP="0047335C">
      <w:r>
        <w:t>By the middle of August, temperatures in the surface waters had cooled to ~24°C (~75°F), while temperatures in deepest waters remained almost identical to July measurements.  Temperature at 4 m was very similarly to all surface waters while at 5 m, temperature had risen to about 21°C (~70°F).  Dissolved oxygen levels were also similar to July’s measurements, although dissolved oxygen was around 9 mg/l in the surface waters</w:t>
      </w:r>
      <w:r w:rsidR="00D1116E">
        <w:t xml:space="preserve"> and the</w:t>
      </w:r>
      <w:r>
        <w:t xml:space="preserve"> anoxic zone (dissolved oxygen ~0 mg/l) </w:t>
      </w:r>
      <w:r w:rsidR="00585905">
        <w:t>had</w:t>
      </w:r>
      <w:r w:rsidR="00D1116E">
        <w:t xml:space="preserve"> increase</w:t>
      </w:r>
      <w:r w:rsidR="00585905">
        <w:t>d its size to include</w:t>
      </w:r>
      <w:r w:rsidR="00D1116E">
        <w:t xml:space="preserve"> the</w:t>
      </w:r>
      <w:r>
        <w:t xml:space="preserve"> 5 m level.</w:t>
      </w:r>
    </w:p>
    <w:p w:rsidR="0047335C" w:rsidRDefault="0047335C" w:rsidP="0047335C">
      <w:r>
        <w:t xml:space="preserve">By September 20, surface water temperatures had declined to less 20°C (~68°F).  While temperature in near-bottom waters remained the same, the temperature at 6 m had increased to approximately 18°C (~64°F) and the </w:t>
      </w:r>
      <w:r w:rsidR="00D1116E">
        <w:t>lake depths less than 5 m were</w:t>
      </w:r>
      <w:r>
        <w:t xml:space="preserve"> essentially isothermal.  Dissolved oxygen levels were approximately 10 mg/l in surface waters and remained at ~0 mg/l below 6 m.  At 5 m, however, dissolved oxygen concentrations had increased from near zero to greater than 5 mg/l.</w:t>
      </w:r>
    </w:p>
    <w:p w:rsidR="0047335C" w:rsidRDefault="0047335C" w:rsidP="0047335C">
      <w:r>
        <w:t>By mid-October, late temperature was nearly isothermal, top to bottom, varying only from 15.9°C (~61°F) at the surface to 15.4°C (~60°F) at the bottom.  Dissolved oxygen levels were similarly uniform, varying from approximately 10 mg/l at the surface to ~8 mg/l at the bottom.  In November, temperature and dissolved oxygen pattern remained similar to October with temperature ranging from ~7°C (~45°F) at the surface to ~6°C (~43°F) near the bottom and dissolved oxygen concentration at ~11 mg/l, top to bottom.</w:t>
      </w:r>
    </w:p>
    <w:p w:rsidR="0047335C" w:rsidRDefault="0047335C" w:rsidP="0047335C">
      <w:proofErr w:type="gramStart"/>
      <w:r w:rsidRPr="00466F7C">
        <w:rPr>
          <w:b/>
          <w:u w:val="single"/>
        </w:rPr>
        <w:t>Total phosphorus</w:t>
      </w:r>
      <w:r>
        <w:rPr>
          <w:b/>
        </w:rPr>
        <w:t>.</w:t>
      </w:r>
      <w:proofErr w:type="gramEnd"/>
      <w:r>
        <w:rPr>
          <w:b/>
        </w:rPr>
        <w:t xml:space="preserve">  </w:t>
      </w:r>
      <w:r>
        <w:t>Results of the total phosphorus tests are presented in Figure 3.  In late June, total phosphorus concentration in the epilim</w:t>
      </w:r>
      <w:r w:rsidR="00D1116E">
        <w:t>nion was 371 parts per billion (ppb</w:t>
      </w:r>
      <w:r>
        <w:t>), while the concentration near the bottom was considerably less at 84</w:t>
      </w:r>
      <w:r w:rsidR="00D1116E">
        <w:t xml:space="preserve"> ppb</w:t>
      </w:r>
      <w:r>
        <w:t xml:space="preserve">.  In July, the epilimnion concentration had declined to </w:t>
      </w:r>
      <w:r w:rsidR="00D1116E">
        <w:t>220ppb</w:t>
      </w:r>
      <w:r>
        <w:t xml:space="preserve">, but the near-bottom </w:t>
      </w:r>
      <w:r w:rsidR="00D1116E">
        <w:t>concentration had risen to 106 ppb</w:t>
      </w:r>
      <w:r>
        <w:t>.  In August and September, the epilimnion total phosphorus levels continued to decline to 181 and 114</w:t>
      </w:r>
      <w:r w:rsidR="00D1116E">
        <w:t xml:space="preserve"> ppb</w:t>
      </w:r>
      <w:r>
        <w:t>, respectively, while the near-bottom concentrations continued to incr</w:t>
      </w:r>
      <w:r w:rsidR="00D1116E">
        <w:t>ease slightly in August (111 ppb</w:t>
      </w:r>
      <w:r>
        <w:t>)</w:t>
      </w:r>
    </w:p>
    <w:p w:rsidR="00C75D83" w:rsidRDefault="00C75D83">
      <w:pPr>
        <w:spacing w:before="0" w:after="200" w:line="276" w:lineRule="auto"/>
        <w:sectPr w:rsidR="00C75D83" w:rsidSect="000254C5">
          <w:headerReference w:type="default" r:id="rId10"/>
          <w:footerReference w:type="default" r:id="rId11"/>
          <w:headerReference w:type="first" r:id="rId12"/>
          <w:footerReference w:type="first" r:id="rId13"/>
          <w:pgSz w:w="12240" w:h="15840" w:code="1"/>
          <w:pgMar w:top="1440" w:right="1152" w:bottom="1440" w:left="1152" w:header="720" w:footer="720" w:gutter="0"/>
          <w:cols w:space="720"/>
          <w:titlePg/>
          <w:docGrid w:linePitch="360"/>
        </w:sectPr>
      </w:pPr>
    </w:p>
    <w:p w:rsidR="00C75D83" w:rsidRDefault="0086101A">
      <w:pPr>
        <w:spacing w:before="0" w:after="200" w:line="276" w:lineRule="auto"/>
      </w:pPr>
      <w:r>
        <w:rPr>
          <w:noProof/>
        </w:rPr>
        <w:drawing>
          <wp:inline distT="0" distB="0" distL="0" distR="0">
            <wp:extent cx="8225309" cy="5124450"/>
            <wp:effectExtent l="0" t="0" r="4445" b="0"/>
            <wp:docPr id="11" name="Picture 11" descr="P:\Bedford Projects\Projects\23302.000 Sassaquin Pond\Sassaquin Pond\JPEGS\Figures June - November 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edford Projects\Projects\23302.000 Sassaquin Pond\Sassaquin Pond\JPEGS\Figures June - November _3.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8229600" cy="5127123"/>
                    </a:xfrm>
                    <a:prstGeom prst="rect">
                      <a:avLst/>
                    </a:prstGeom>
                    <a:noFill/>
                    <a:ln>
                      <a:noFill/>
                    </a:ln>
                  </pic:spPr>
                </pic:pic>
              </a:graphicData>
            </a:graphic>
          </wp:inline>
        </w:drawing>
      </w:r>
    </w:p>
    <w:p w:rsidR="00C75D83" w:rsidRDefault="00C75D83">
      <w:pPr>
        <w:spacing w:before="0" w:after="200" w:line="276" w:lineRule="auto"/>
        <w:sectPr w:rsidR="00C75D83" w:rsidSect="00C75D83">
          <w:pgSz w:w="15840" w:h="12240" w:orient="landscape" w:code="1"/>
          <w:pgMar w:top="1152" w:right="1440" w:bottom="1152" w:left="1440" w:header="720" w:footer="720" w:gutter="0"/>
          <w:cols w:space="720"/>
          <w:titlePg/>
          <w:docGrid w:linePitch="360"/>
        </w:sectPr>
      </w:pPr>
      <w:proofErr w:type="gramStart"/>
      <w:r>
        <w:t>Figure 2.</w:t>
      </w:r>
      <w:proofErr w:type="gramEnd"/>
      <w:r>
        <w:t xml:space="preserve">  Monthly dissolv</w:t>
      </w:r>
      <w:r w:rsidR="00A27836">
        <w:t>ed oxygen and temperature measurements</w:t>
      </w:r>
      <w:r>
        <w:t xml:space="preserve"> – </w:t>
      </w:r>
      <w:proofErr w:type="spellStart"/>
      <w:r>
        <w:t>Sassaquin</w:t>
      </w:r>
      <w:proofErr w:type="spellEnd"/>
      <w:r>
        <w:t xml:space="preserve"> Pond, 2013.</w:t>
      </w:r>
    </w:p>
    <w:p w:rsidR="00DF6CD2" w:rsidRDefault="0086101A">
      <w:pPr>
        <w:spacing w:before="0" w:after="200" w:line="276" w:lineRule="auto"/>
      </w:pPr>
      <w:r>
        <w:rPr>
          <w:noProof/>
        </w:rPr>
        <w:drawing>
          <wp:inline distT="0" distB="0" distL="0" distR="0">
            <wp:extent cx="6309360" cy="5326495"/>
            <wp:effectExtent l="0" t="0" r="0" b="7620"/>
            <wp:docPr id="10" name="Picture 10" descr="P:\Bedford Projects\Projects\23302.000 Sassaquin Pond\Sassaquin Pond\JPEGS\Phosphorous_June - November 2013_4\Phosphorus June - Nov. 20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Bedford Projects\Projects\23302.000 Sassaquin Pond\Sassaquin Pond\JPEGS\Phosphorous_June - November 2013_4\Phosphorus June - Nov. 2013.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09360" cy="5326495"/>
                    </a:xfrm>
                    <a:prstGeom prst="rect">
                      <a:avLst/>
                    </a:prstGeom>
                    <a:noFill/>
                    <a:ln>
                      <a:noFill/>
                    </a:ln>
                  </pic:spPr>
                </pic:pic>
              </a:graphicData>
            </a:graphic>
          </wp:inline>
        </w:drawing>
      </w:r>
      <w:proofErr w:type="gramStart"/>
      <w:r w:rsidR="00DF6CD2">
        <w:t>Figure 3.</w:t>
      </w:r>
      <w:proofErr w:type="gramEnd"/>
      <w:r w:rsidR="00DF6CD2">
        <w:t xml:space="preserve">  Monthly total phosphorus concentrations – </w:t>
      </w:r>
      <w:proofErr w:type="spellStart"/>
      <w:r w:rsidR="00DF6CD2">
        <w:t>Sassaquin</w:t>
      </w:r>
      <w:proofErr w:type="spellEnd"/>
      <w:r w:rsidR="00DF6CD2">
        <w:t xml:space="preserve"> Pond 2013</w:t>
      </w:r>
      <w:r w:rsidR="00DF6CD2">
        <w:br w:type="page"/>
      </w:r>
    </w:p>
    <w:p w:rsidR="00AC12C4" w:rsidRDefault="0047335C" w:rsidP="00AC12C4">
      <w:proofErr w:type="gramStart"/>
      <w:r>
        <w:t>and</w:t>
      </w:r>
      <w:proofErr w:type="gramEnd"/>
      <w:r>
        <w:t xml:space="preserve"> then dec</w:t>
      </w:r>
      <w:r w:rsidR="00D1116E">
        <w:t>lined sharply in September (52 ppb</w:t>
      </w:r>
      <w:r>
        <w:t>).  In October, total phosphorus increased in both the epilimnion and ne</w:t>
      </w:r>
      <w:r w:rsidR="00D1116E">
        <w:t>ar-bottom waters (254 and 77 ppb</w:t>
      </w:r>
      <w:r w:rsidR="00585905">
        <w:t>, respectively), but then</w:t>
      </w:r>
      <w:r>
        <w:t xml:space="preserve"> declined sharply </w:t>
      </w:r>
      <w:r w:rsidR="00585905">
        <w:t xml:space="preserve">again </w:t>
      </w:r>
      <w:r>
        <w:t xml:space="preserve">in </w:t>
      </w:r>
      <w:r w:rsidR="00D1116E">
        <w:t>November (108 ppb</w:t>
      </w:r>
      <w:r w:rsidR="001B042B">
        <w:t xml:space="preserve"> in </w:t>
      </w:r>
      <w:r w:rsidR="00D1116E">
        <w:t>the epilimnion and 25 ppb</w:t>
      </w:r>
      <w:r w:rsidR="001B042B">
        <w:t xml:space="preserve"> at near-bottom) to the lowest levels of the monitoring period in both sampling locations.  It is interesting to note that total phosphorus was </w:t>
      </w:r>
      <w:r w:rsidR="004D044E">
        <w:t xml:space="preserve">always </w:t>
      </w:r>
      <w:r w:rsidR="00AC12C4">
        <w:t xml:space="preserve">higher in the epilimnion that in the near-bottom waters, even in the fall when </w:t>
      </w:r>
      <w:r w:rsidR="004D044E">
        <w:t xml:space="preserve">the </w:t>
      </w:r>
      <w:r w:rsidR="00D1116E">
        <w:t>pond</w:t>
      </w:r>
      <w:r w:rsidR="00AC12C4">
        <w:t xml:space="preserve"> </w:t>
      </w:r>
      <w:r w:rsidR="004D044E">
        <w:t xml:space="preserve">was </w:t>
      </w:r>
      <w:r w:rsidR="00AC12C4">
        <w:t>isothermal and therefore not thermally stratified.</w:t>
      </w:r>
    </w:p>
    <w:p w:rsidR="00724C31" w:rsidRPr="00724C31" w:rsidRDefault="00724C31" w:rsidP="00724C31">
      <w:pPr>
        <w:rPr>
          <w:b/>
        </w:rPr>
      </w:pPr>
      <w:r>
        <w:rPr>
          <w:b/>
        </w:rPr>
        <w:t>ANALYSIS</w:t>
      </w:r>
    </w:p>
    <w:p w:rsidR="007B39DE" w:rsidRDefault="00AC12C4" w:rsidP="00724C31">
      <w:r>
        <w:t xml:space="preserve">These data provide a seasonal overview </w:t>
      </w:r>
      <w:r w:rsidR="004D044E">
        <w:t xml:space="preserve">of </w:t>
      </w:r>
      <w:r>
        <w:t xml:space="preserve">the temperature, dissolved oxygen and total phosphorus regime in </w:t>
      </w:r>
      <w:proofErr w:type="spellStart"/>
      <w:r>
        <w:t>Sassaquin</w:t>
      </w:r>
      <w:proofErr w:type="spellEnd"/>
      <w:r>
        <w:t xml:space="preserve"> Pond during the 20</w:t>
      </w:r>
      <w:r w:rsidR="004D044E">
        <w:t>13 summer/fall period</w:t>
      </w:r>
      <w:r>
        <w:t>.  Some of the data were entirely consistent wi</w:t>
      </w:r>
      <w:r w:rsidR="004D044E">
        <w:t>th prior expectations, based</w:t>
      </w:r>
      <w:r>
        <w:t xml:space="preserve"> on </w:t>
      </w:r>
      <w:r w:rsidR="008410F3">
        <w:t xml:space="preserve">the </w:t>
      </w:r>
      <w:r>
        <w:t xml:space="preserve">anecdotal information we had regarding </w:t>
      </w:r>
      <w:proofErr w:type="spellStart"/>
      <w:r>
        <w:t>Sassaquin</w:t>
      </w:r>
      <w:proofErr w:type="spellEnd"/>
      <w:r>
        <w:t xml:space="preserve"> Pond water quality.  Some data are not consistent with expectations; </w:t>
      </w:r>
      <w:r w:rsidR="004D044E">
        <w:t xml:space="preserve">without more definitive studies, </w:t>
      </w:r>
      <w:r>
        <w:t xml:space="preserve">we can only speculate as to why.  With respect to the </w:t>
      </w:r>
      <w:r w:rsidR="007B39DE">
        <w:t xml:space="preserve">observed patterns of </w:t>
      </w:r>
      <w:r>
        <w:t>temperature and dissolved oxygen</w:t>
      </w:r>
      <w:r w:rsidR="007B39DE">
        <w:t xml:space="preserve">, both measures behaved as expected.  In lakes that are deep enough to stratify (and </w:t>
      </w:r>
      <w:proofErr w:type="spellStart"/>
      <w:r w:rsidR="007B39DE">
        <w:t>Sassaquin</w:t>
      </w:r>
      <w:proofErr w:type="spellEnd"/>
      <w:r w:rsidR="007B39DE">
        <w:t xml:space="preserve"> Pond clearly is), we expect to find warm</w:t>
      </w:r>
      <w:r w:rsidR="00DA1F5F">
        <w:t>est</w:t>
      </w:r>
      <w:r w:rsidR="007B39DE">
        <w:t xml:space="preserve"> temperatures in the </w:t>
      </w:r>
      <w:r w:rsidR="008410F3">
        <w:t>surface waters (the epilimnion)</w:t>
      </w:r>
      <w:r w:rsidR="00DA1F5F">
        <w:t xml:space="preserve"> during the “summer” stratification period</w:t>
      </w:r>
      <w:r w:rsidR="008410F3">
        <w:t>,</w:t>
      </w:r>
      <w:r w:rsidR="007B39DE">
        <w:t xml:space="preserve"> colder t</w:t>
      </w:r>
      <w:r w:rsidR="004D044E">
        <w:t>emperatures in the bottom waters (</w:t>
      </w:r>
      <w:r w:rsidR="007B39DE">
        <w:t xml:space="preserve">hypolimnion), and a transition zone somewhere in the middle (termed the </w:t>
      </w:r>
      <w:proofErr w:type="spellStart"/>
      <w:r w:rsidR="007B39DE">
        <w:t>metalimnion</w:t>
      </w:r>
      <w:proofErr w:type="spellEnd"/>
      <w:r w:rsidR="007B39DE">
        <w:t xml:space="preserve">).  </w:t>
      </w:r>
      <w:r w:rsidR="00DA1F5F">
        <w:t>The epilimnion tends to become deep</w:t>
      </w:r>
      <w:r w:rsidR="004D044E">
        <w:t>er during the summer,</w:t>
      </w:r>
      <w:r w:rsidR="00F82436">
        <w:t xml:space="preserve"> primarily </w:t>
      </w:r>
      <w:r w:rsidR="004D044E">
        <w:t xml:space="preserve">due </w:t>
      </w:r>
      <w:r w:rsidR="00F82436">
        <w:t xml:space="preserve">to wind events that gradually entrain </w:t>
      </w:r>
      <w:proofErr w:type="spellStart"/>
      <w:r w:rsidR="00F82436">
        <w:t>metal</w:t>
      </w:r>
      <w:r w:rsidR="008410F3">
        <w:t>imnetic</w:t>
      </w:r>
      <w:proofErr w:type="spellEnd"/>
      <w:r w:rsidR="008410F3">
        <w:t xml:space="preserve"> waters into the surface waters</w:t>
      </w:r>
      <w:r w:rsidR="00F82436">
        <w:t xml:space="preserve"> </w:t>
      </w:r>
      <w:r w:rsidR="00585905">
        <w:t>and during the fall when slowly cooling</w:t>
      </w:r>
      <w:r w:rsidR="00F82436">
        <w:t xml:space="preserve"> </w:t>
      </w:r>
      <w:r w:rsidR="00585905">
        <w:t>surface water temperatures become</w:t>
      </w:r>
      <w:r w:rsidR="004D044E">
        <w:t xml:space="preserve"> the same as</w:t>
      </w:r>
      <w:r w:rsidR="00F82436">
        <w:t xml:space="preserve"> progressively deeper temperatures, thereby gradually eliminating temperature difference</w:t>
      </w:r>
      <w:r w:rsidR="004D044E">
        <w:t>s that cause</w:t>
      </w:r>
      <w:r w:rsidR="00F82436">
        <w:t xml:space="preserve"> stratification.  Eventually, most all lakes (in the temperate zone) </w:t>
      </w:r>
      <w:r w:rsidR="00DA1F5F">
        <w:t xml:space="preserve">that stratify </w:t>
      </w:r>
      <w:r w:rsidR="00F82436">
        <w:t xml:space="preserve">become isothermal throughout the </w:t>
      </w:r>
      <w:r w:rsidR="00374A87">
        <w:t>entire</w:t>
      </w:r>
      <w:r w:rsidR="00F82436">
        <w:t xml:space="preserve"> water colu</w:t>
      </w:r>
      <w:r w:rsidR="00374A87">
        <w:t>mn</w:t>
      </w:r>
      <w:r w:rsidR="00585905">
        <w:t xml:space="preserve"> during the fall</w:t>
      </w:r>
      <w:r w:rsidR="00E86680">
        <w:t>.  This phenomenon</w:t>
      </w:r>
      <w:r w:rsidR="00DA1F5F">
        <w:t xml:space="preserve"> is often called fall </w:t>
      </w:r>
      <w:r w:rsidR="00F82436">
        <w:t>turn</w:t>
      </w:r>
      <w:r w:rsidR="00DA1F5F">
        <w:t xml:space="preserve">over.  Fall </w:t>
      </w:r>
      <w:r w:rsidR="004D044E">
        <w:t>turn</w:t>
      </w:r>
      <w:r w:rsidR="00DA1F5F">
        <w:t>over</w:t>
      </w:r>
      <w:r w:rsidR="00E86680">
        <w:t xml:space="preserve"> simply means that mixing </w:t>
      </w:r>
      <w:r w:rsidR="004D044E">
        <w:t xml:space="preserve">can </w:t>
      </w:r>
      <w:r w:rsidR="00E86680">
        <w:t>and does occur from top to bottom</w:t>
      </w:r>
      <w:r w:rsidR="004D044E">
        <w:t xml:space="preserve"> in a lake or pond</w:t>
      </w:r>
      <w:r w:rsidR="00A21093">
        <w:t>, because density differences that create stratification are eliminated during this time</w:t>
      </w:r>
      <w:r w:rsidR="00E86680">
        <w:t>.</w:t>
      </w:r>
      <w:r w:rsidR="00A21093">
        <w:t xml:space="preserve">  </w:t>
      </w:r>
      <w:r w:rsidR="00065F44">
        <w:t xml:space="preserve">The thermal regime found in </w:t>
      </w:r>
      <w:proofErr w:type="spellStart"/>
      <w:r w:rsidR="00A21093">
        <w:t>Sassaquin</w:t>
      </w:r>
      <w:proofErr w:type="spellEnd"/>
      <w:r w:rsidR="00A21093">
        <w:t xml:space="preserve"> Pond </w:t>
      </w:r>
      <w:r w:rsidR="00065F44">
        <w:t xml:space="preserve">was entirely predictable and expected and </w:t>
      </w:r>
      <w:r w:rsidR="00A21093">
        <w:t xml:space="preserve">displayed all of the thermal </w:t>
      </w:r>
      <w:r w:rsidR="00DA1F5F">
        <w:t>characteristics described above.</w:t>
      </w:r>
      <w:r w:rsidR="00A21093">
        <w:t xml:space="preserve"> </w:t>
      </w:r>
    </w:p>
    <w:p w:rsidR="00525562" w:rsidRDefault="00065F44" w:rsidP="00724C31">
      <w:r>
        <w:t xml:space="preserve">With respect to dissolved oxygen, concentrations found in </w:t>
      </w:r>
      <w:proofErr w:type="spellStart"/>
      <w:r>
        <w:t>Sassaquin</w:t>
      </w:r>
      <w:proofErr w:type="spellEnd"/>
      <w:r>
        <w:t xml:space="preserve"> were </w:t>
      </w:r>
      <w:r w:rsidR="00DA1F5F">
        <w:t xml:space="preserve">also </w:t>
      </w:r>
      <w:r>
        <w:t xml:space="preserve">identical to expectations.  </w:t>
      </w:r>
      <w:r w:rsidR="00E14FF1">
        <w:t xml:space="preserve">The </w:t>
      </w:r>
      <w:proofErr w:type="gramStart"/>
      <w:r w:rsidR="00E14FF1">
        <w:t>capacity of water to “hold”</w:t>
      </w:r>
      <w:r w:rsidR="00724C31">
        <w:t xml:space="preserve"> dissolved oxygen is inversely</w:t>
      </w:r>
      <w:r w:rsidR="00DA1F5F">
        <w:t xml:space="preserve"> related to temperature</w:t>
      </w:r>
      <w:r w:rsidR="00E14FF1">
        <w:t>,</w:t>
      </w:r>
      <w:r w:rsidR="00DA1F5F">
        <w:t xml:space="preserve"> and in</w:t>
      </w:r>
      <w:r w:rsidR="00724C31">
        <w:t xml:space="preserve"> pristine</w:t>
      </w:r>
      <w:r w:rsidR="002846D1">
        <w:t>, nutrient-poor</w:t>
      </w:r>
      <w:r w:rsidR="00724C31">
        <w:t xml:space="preserve"> lake</w:t>
      </w:r>
      <w:r w:rsidR="008410F3">
        <w:t>s</w:t>
      </w:r>
      <w:r w:rsidR="00724C31">
        <w:t xml:space="preserve"> </w:t>
      </w:r>
      <w:r w:rsidR="002846D1">
        <w:t xml:space="preserve">(termed oligotrophic) </w:t>
      </w:r>
      <w:r w:rsidR="00585905">
        <w:t xml:space="preserve">that </w:t>
      </w:r>
      <w:r w:rsidR="002846D1">
        <w:t>conta</w:t>
      </w:r>
      <w:r w:rsidR="00585905">
        <w:t>in</w:t>
      </w:r>
      <w:proofErr w:type="gramEnd"/>
      <w:r w:rsidR="002846D1">
        <w:t xml:space="preserve"> minimal</w:t>
      </w:r>
      <w:r w:rsidR="00724C31">
        <w:t xml:space="preserve"> oxygen-producing or demanding substance</w:t>
      </w:r>
      <w:r w:rsidR="00585905">
        <w:t>s</w:t>
      </w:r>
      <w:r w:rsidR="00724C31">
        <w:t xml:space="preserve">, dissolved oxygen concentrations would be expected to range from approximately 8 mg/l at the surface </w:t>
      </w:r>
      <w:r w:rsidR="002846D1">
        <w:t xml:space="preserve">during the summer </w:t>
      </w:r>
      <w:r w:rsidR="00724C31">
        <w:t xml:space="preserve">to about 10.5 mg/l at the bottom.  </w:t>
      </w:r>
      <w:r>
        <w:t>In</w:t>
      </w:r>
      <w:r w:rsidR="002846D1">
        <w:t xml:space="preserve"> enriched lakes</w:t>
      </w:r>
      <w:r w:rsidR="00525562">
        <w:t xml:space="preserve"> (termed eutrophic)</w:t>
      </w:r>
      <w:r w:rsidR="002846D1">
        <w:t>,</w:t>
      </w:r>
      <w:r>
        <w:t xml:space="preserve"> where algal blooms are present, dissolved oxygen behaves quite differen</w:t>
      </w:r>
      <w:r w:rsidR="002846D1">
        <w:t xml:space="preserve">tly.  Typically, </w:t>
      </w:r>
      <w:r w:rsidR="001B0DB1">
        <w:t xml:space="preserve">nutrient-rich lakes would have surface water </w:t>
      </w:r>
      <w:r w:rsidR="002846D1">
        <w:t xml:space="preserve">dissolved oxygen levels </w:t>
      </w:r>
      <w:r w:rsidR="001B0DB1">
        <w:t xml:space="preserve">that </w:t>
      </w:r>
      <w:r w:rsidR="00DA1F5F">
        <w:t>are</w:t>
      </w:r>
      <w:r w:rsidR="002846D1">
        <w:t xml:space="preserve"> higher than in nutrient-poor lakes</w:t>
      </w:r>
      <w:r w:rsidR="008410F3">
        <w:t>,</w:t>
      </w:r>
      <w:r w:rsidR="002846D1">
        <w:t xml:space="preserve"> and </w:t>
      </w:r>
      <w:r w:rsidR="001B0DB1">
        <w:t>in bottom</w:t>
      </w:r>
      <w:r w:rsidR="00DA1F5F">
        <w:t xml:space="preserve"> waters, concentrations are</w:t>
      </w:r>
      <w:r w:rsidR="001B0DB1">
        <w:t xml:space="preserve"> </w:t>
      </w:r>
      <w:r w:rsidR="002846D1">
        <w:t>lower</w:t>
      </w:r>
      <w:r w:rsidR="001B0DB1">
        <w:t xml:space="preserve"> and perhaps even absent</w:t>
      </w:r>
      <w:r w:rsidR="002846D1">
        <w:t xml:space="preserve">. </w:t>
      </w:r>
      <w:r>
        <w:t xml:space="preserve"> </w:t>
      </w:r>
      <w:r w:rsidR="001B0DB1">
        <w:t>As with all plants, algae produce oxygen during the daylight hours but use oxygen at night.  Because there are few other natural means of creating supersaturated conditions in lakes, elevated levels of dissolved oxygen (termed super</w:t>
      </w:r>
      <w:r w:rsidR="00E14FF1">
        <w:t>-</w:t>
      </w:r>
      <w:r w:rsidR="001B0DB1">
        <w:t>saturation) are almost the result of algal growth.  Under-saturation generally results from something in the water that has an o</w:t>
      </w:r>
      <w:r w:rsidR="00E14FF1">
        <w:t>xygen demand, usually labeled</w:t>
      </w:r>
      <w:r w:rsidR="001B0DB1">
        <w:t xml:space="preserve"> “biochemical oxygen demand” or BOD.  In the case of lakes, the primary source</w:t>
      </w:r>
      <w:r w:rsidR="00BA4128">
        <w:t>s of BOD are</w:t>
      </w:r>
      <w:r w:rsidR="001B0DB1">
        <w:t xml:space="preserve"> respiring algal cells </w:t>
      </w:r>
      <w:r w:rsidR="00BA4128">
        <w:t>(algal cells that have settled below the photic zon</w:t>
      </w:r>
      <w:r w:rsidR="008410F3">
        <w:t>e and can no longer grow by</w:t>
      </w:r>
      <w:r w:rsidR="00BA4128">
        <w:t xml:space="preserve"> photosynthesis) </w:t>
      </w:r>
      <w:r w:rsidR="001B0DB1">
        <w:t xml:space="preserve">and organic material most commonly derived from dead algal cells. </w:t>
      </w:r>
      <w:r w:rsidR="00BA4128">
        <w:t xml:space="preserve"> This oxygen demand </w:t>
      </w:r>
      <w:r w:rsidR="00525562">
        <w:t xml:space="preserve">is highly variable in lakes, depending on their nutrient status, but in eutrophic lakes, it is common to have dissolved oxygen levels entirely depleted in the deepest waters during the summer period.  </w:t>
      </w:r>
    </w:p>
    <w:p w:rsidR="00724C31" w:rsidRDefault="001B0DB1" w:rsidP="00724C31">
      <w:r>
        <w:t>In June,</w:t>
      </w:r>
      <w:r w:rsidR="00724C31">
        <w:t xml:space="preserve"> measured </w:t>
      </w:r>
      <w:r>
        <w:t xml:space="preserve">dissolved </w:t>
      </w:r>
      <w:r w:rsidR="00724C31">
        <w:t xml:space="preserve">concentrations </w:t>
      </w:r>
      <w:r>
        <w:t xml:space="preserve">in </w:t>
      </w:r>
      <w:proofErr w:type="spellStart"/>
      <w:r>
        <w:t>Sassaquin</w:t>
      </w:r>
      <w:proofErr w:type="spellEnd"/>
      <w:r>
        <w:t xml:space="preserve"> Pond </w:t>
      </w:r>
      <w:r w:rsidR="00724C31">
        <w:t>exceeded 9 mg/</w:t>
      </w:r>
      <w:r>
        <w:t>l at the 2 and 3 m depth and were</w:t>
      </w:r>
      <w:r w:rsidR="00724C31">
        <w:t xml:space="preserve"> less than 1 </w:t>
      </w:r>
      <w:r>
        <w:t xml:space="preserve">mg/l </w:t>
      </w:r>
      <w:r w:rsidR="00724C31">
        <w:t>below 5 m</w:t>
      </w:r>
      <w:r>
        <w:t>.  These levels suggest that algae growth is influencing the dissolved oxygen regime in</w:t>
      </w:r>
      <w:r w:rsidR="00724C31">
        <w:t xml:space="preserve"> </w:t>
      </w:r>
      <w:proofErr w:type="spellStart"/>
      <w:r w:rsidR="00724C31">
        <w:t>Sassaquin</w:t>
      </w:r>
      <w:proofErr w:type="spellEnd"/>
      <w:r w:rsidR="00724C31">
        <w:t xml:space="preserve"> Pond</w:t>
      </w:r>
      <w:r>
        <w:t>, causing</w:t>
      </w:r>
      <w:r w:rsidR="00724C31">
        <w:t xml:space="preserve"> </w:t>
      </w:r>
      <w:r>
        <w:t>dissolved oxygen super</w:t>
      </w:r>
      <w:r w:rsidR="00E14FF1">
        <w:t>-</w:t>
      </w:r>
      <w:r>
        <w:t>saturation</w:t>
      </w:r>
      <w:r w:rsidR="00724C31">
        <w:t xml:space="preserve"> in the upper portion of the water column and highly under-saturated </w:t>
      </w:r>
      <w:r>
        <w:t xml:space="preserve">conditions </w:t>
      </w:r>
      <w:r w:rsidR="00724C31">
        <w:t>in the nea</w:t>
      </w:r>
      <w:r>
        <w:t xml:space="preserve">r-bottom waters.  </w:t>
      </w:r>
      <w:r w:rsidR="00724C31">
        <w:t xml:space="preserve">It is expected that excessive algal growth is the primary factor contributing to </w:t>
      </w:r>
      <w:proofErr w:type="gramStart"/>
      <w:r w:rsidR="00724C31">
        <w:t>dissolved</w:t>
      </w:r>
      <w:proofErr w:type="gramEnd"/>
      <w:r w:rsidR="00724C31">
        <w:t xml:space="preserve"> oxygen super- and under-saturation in </w:t>
      </w:r>
      <w:proofErr w:type="spellStart"/>
      <w:r w:rsidR="00724C31">
        <w:t>Sassaquin</w:t>
      </w:r>
      <w:proofErr w:type="spellEnd"/>
      <w:r w:rsidR="00724C31">
        <w:t xml:space="preserve"> Pond.</w:t>
      </w:r>
      <w:r w:rsidR="00A05D38">
        <w:t xml:space="preserve">  In fact, super</w:t>
      </w:r>
      <w:r w:rsidR="00E14FF1">
        <w:t>-</w:t>
      </w:r>
      <w:r w:rsidR="00A05D38">
        <w:t>saturation of dissolve</w:t>
      </w:r>
      <w:r w:rsidR="00A27836">
        <w:t>d</w:t>
      </w:r>
      <w:r w:rsidR="00A05D38">
        <w:t xml:space="preserve"> oxygen was evident a varying levels during July, August and September as well, reinforcing the conclusion that algal growth </w:t>
      </w:r>
      <w:r w:rsidR="004E1B4D">
        <w:t xml:space="preserve">strongly influences dissolved oxygen levels in </w:t>
      </w:r>
      <w:proofErr w:type="spellStart"/>
      <w:r w:rsidR="004E1B4D">
        <w:t>Sassaquin</w:t>
      </w:r>
      <w:proofErr w:type="spellEnd"/>
      <w:r w:rsidR="004E1B4D">
        <w:t xml:space="preserve"> Pond throughout the growing season.</w:t>
      </w:r>
    </w:p>
    <w:p w:rsidR="00E44E40" w:rsidRDefault="004E1B4D" w:rsidP="00E44E40">
      <w:r>
        <w:t xml:space="preserve">With respect to total phosphorus, levels at all depth are extraordinarily high and are sufficient to create hyper-eutrophic conditions.  Conventional limnology suggests that for most temperature lakes, total phosphorus levels less than 10 ppb would define oligotrophic </w:t>
      </w:r>
      <w:r w:rsidR="002B4BC3">
        <w:t xml:space="preserve">or low nutrient-level </w:t>
      </w:r>
      <w:r>
        <w:t xml:space="preserve">lakes, 10-20 ppb would describe </w:t>
      </w:r>
      <w:proofErr w:type="spellStart"/>
      <w:r>
        <w:t>mesotrophic</w:t>
      </w:r>
      <w:proofErr w:type="spellEnd"/>
      <w:r>
        <w:t xml:space="preserve"> </w:t>
      </w:r>
      <w:r w:rsidR="002B4BC3">
        <w:t xml:space="preserve">or moderate nutrient-level </w:t>
      </w:r>
      <w:r>
        <w:t xml:space="preserve">lakes and levels in excess of 20 ppb would support eutrophic </w:t>
      </w:r>
      <w:r w:rsidR="002B4BC3">
        <w:t xml:space="preserve">or high nutrient-level </w:t>
      </w:r>
      <w:r>
        <w:t xml:space="preserve">conditions.  In early summer, </w:t>
      </w:r>
      <w:proofErr w:type="spellStart"/>
      <w:r>
        <w:t>Sassaquin</w:t>
      </w:r>
      <w:proofErr w:type="spellEnd"/>
      <w:r>
        <w:t xml:space="preserve"> Pond had total phosphorus levels more than 15 times higher than the lower eutrophic level, indicating highly enriched conditions.</w:t>
      </w:r>
      <w:r w:rsidR="0090000B">
        <w:t xml:space="preserve">  As the season progressed through summer and </w:t>
      </w:r>
      <w:r w:rsidR="00F306A1">
        <w:t xml:space="preserve">early </w:t>
      </w:r>
      <w:r w:rsidR="0090000B">
        <w:t>fall, total phosphorus levels decline</w:t>
      </w:r>
      <w:r w:rsidR="001140A0">
        <w:t>d</w:t>
      </w:r>
      <w:r w:rsidR="00652292">
        <w:t xml:space="preserve"> sharply, possi</w:t>
      </w:r>
      <w:r w:rsidR="001140A0">
        <w:t xml:space="preserve">bly indicating that algal uptake of phosphorus and subsequent settling of algal cells out of the photic zone continually stripped total phosphorus from the surface waters.  </w:t>
      </w:r>
      <w:r w:rsidR="00553EDA">
        <w:t>Total phosphorus levels in the hypolimnion were substantially lower than in the epilimnion for the entire period</w:t>
      </w:r>
      <w:r w:rsidR="00E44E40">
        <w:t>, but especially during June.  At this time</w:t>
      </w:r>
      <w:r w:rsidR="00553EDA">
        <w:t xml:space="preserve">, the concentration </w:t>
      </w:r>
      <w:r w:rsidR="002B4BC3">
        <w:t>at depth was only 84 ppb</w:t>
      </w:r>
      <w:r w:rsidR="00553EDA">
        <w:t>, compared to 371 ppb in the epilimnion.  Hypolimnetic concentrations increase</w:t>
      </w:r>
      <w:r w:rsidR="00E44E40">
        <w:t>d</w:t>
      </w:r>
      <w:r w:rsidR="00E14FF1">
        <w:t xml:space="preserve"> gradually but</w:t>
      </w:r>
      <w:r w:rsidR="00553EDA">
        <w:t xml:space="preserve"> modestly through August and then declined substantially during September.  </w:t>
      </w:r>
      <w:r w:rsidR="00E44E40">
        <w:t>Both epilimnetic and hypolimnetic observed trends are consistent with expectations for enriched lakes, but a much more significant increase in hypolimnetic total phosphorus would have been expected, given the lack of dissolve</w:t>
      </w:r>
      <w:r w:rsidR="00A27836">
        <w:t>d</w:t>
      </w:r>
      <w:r w:rsidR="00E44E40">
        <w:t xml:space="preserve"> oxygen at depth (phosphorus release </w:t>
      </w:r>
      <w:r w:rsidR="002B4BC3">
        <w:t xml:space="preserve">from the sediment </w:t>
      </w:r>
      <w:r w:rsidR="00E44E40">
        <w:t xml:space="preserve">is </w:t>
      </w:r>
      <w:r w:rsidR="00E14FF1">
        <w:t>enhanced by anoxic conditions</w:t>
      </w:r>
      <w:r w:rsidR="00E44E40">
        <w:t>).</w:t>
      </w:r>
    </w:p>
    <w:p w:rsidR="00F306A1" w:rsidRDefault="00E44E40" w:rsidP="00724C31">
      <w:r>
        <w:t>In October, there was a sharp rise in total phosphorus concentration in surface waters, followed by another sharp decline in November.  At the same time,</w:t>
      </w:r>
      <w:r w:rsidR="00553EDA">
        <w:t xml:space="preserve"> concentrations </w:t>
      </w:r>
      <w:r>
        <w:t xml:space="preserve">in the hypolimnion </w:t>
      </w:r>
      <w:r w:rsidR="00553EDA">
        <w:t xml:space="preserve">rose, but not nearly as significantly as in the epilimnion.  In November, total phosphorus levels </w:t>
      </w:r>
      <w:r>
        <w:t>in both the epilimnion and hypolimnion</w:t>
      </w:r>
      <w:r w:rsidR="00553EDA">
        <w:t xml:space="preserve"> declined sharply</w:t>
      </w:r>
      <w:r>
        <w:t xml:space="preserve"> to the lowest levels of the monitoring period.</w:t>
      </w:r>
    </w:p>
    <w:p w:rsidR="00190090" w:rsidRDefault="00F306A1" w:rsidP="00724C31">
      <w:r>
        <w:t xml:space="preserve">One would typically expect that increases in total phosphorus levels in lakes during the fall period </w:t>
      </w:r>
      <w:r w:rsidR="002B4BC3">
        <w:t>would result from one or</w:t>
      </w:r>
      <w:r>
        <w:t xml:space="preserve"> two things – increased phosphorus loading from external sources due to fall runoff events and/or increased internal loading from entraining phosphorus-enriched hypolimnetic waters during fall turnover.  In this case, neither seem</w:t>
      </w:r>
      <w:r w:rsidR="00553EDA">
        <w:t>s</w:t>
      </w:r>
      <w:r>
        <w:t xml:space="preserve"> to be </w:t>
      </w:r>
      <w:r w:rsidR="00E14FF1">
        <w:t>a major contributing factor</w:t>
      </w:r>
      <w:r>
        <w:t>.</w:t>
      </w:r>
      <w:r w:rsidR="002A4425">
        <w:t xml:space="preserve">  Review of the streamflow data for the nearby </w:t>
      </w:r>
      <w:proofErr w:type="spellStart"/>
      <w:r w:rsidR="00DE3A35">
        <w:t>Paskamanset</w:t>
      </w:r>
      <w:proofErr w:type="spellEnd"/>
      <w:r w:rsidR="002A4425">
        <w:t xml:space="preserve"> </w:t>
      </w:r>
      <w:r w:rsidR="00DE3A35">
        <w:t>River did not reveal a significant runoff event between our September and October sampling d</w:t>
      </w:r>
      <w:r w:rsidR="00E14FF1">
        <w:t>ates, indicating that</w:t>
      </w:r>
      <w:r w:rsidR="00DE3A35">
        <w:t xml:space="preserve"> external loading was probably not the source of elevated phosphorus levels in October.  Similarly, total phosphorus concentrations in the hypolimnion do not appear to be high enough to explain the substantial increase in epilimnetic </w:t>
      </w:r>
      <w:r w:rsidR="00E14FF1">
        <w:t xml:space="preserve">total phosphorus </w:t>
      </w:r>
      <w:proofErr w:type="spellStart"/>
      <w:r w:rsidR="00DE3A35">
        <w:t>concentraton</w:t>
      </w:r>
      <w:proofErr w:type="spellEnd"/>
      <w:r w:rsidR="00DE3A35">
        <w:t>.</w:t>
      </w:r>
      <w:r w:rsidR="00815DBC">
        <w:t xml:space="preserve">  Using the depth con</w:t>
      </w:r>
      <w:r w:rsidR="00EC2629">
        <w:t xml:space="preserve">tours provided by </w:t>
      </w:r>
      <w:proofErr w:type="spellStart"/>
      <w:r w:rsidR="00EC2629">
        <w:t>Baystate</w:t>
      </w:r>
      <w:proofErr w:type="spellEnd"/>
      <w:r w:rsidR="00EC2629">
        <w:t xml:space="preserve"> (1987</w:t>
      </w:r>
      <w:r w:rsidR="00815DBC">
        <w:t>), we determined that the volume of the pond below 5 m is only about 16% of the total pond volume.</w:t>
      </w:r>
      <w:r w:rsidR="00FE1266">
        <w:t xml:space="preserve">  </w:t>
      </w:r>
      <w:r w:rsidR="00E14FF1">
        <w:t>If this entire volume was mixed</w:t>
      </w:r>
      <w:r w:rsidR="00FE1266">
        <w:t xml:space="preserve"> into the whole pond</w:t>
      </w:r>
      <w:r w:rsidR="002B4BC3">
        <w:t xml:space="preserve"> during fall turnover, the average</w:t>
      </w:r>
      <w:r w:rsidR="00FE1266">
        <w:t xml:space="preserve"> concentration of the entire hypolimnion would have </w:t>
      </w:r>
      <w:r w:rsidR="002B4BC3">
        <w:t xml:space="preserve">had </w:t>
      </w:r>
      <w:r w:rsidR="00FE1266">
        <w:t>to have been ~250 ppb to yield the increase in total phosphorus levels observed in the October epi</w:t>
      </w:r>
      <w:r w:rsidR="00E0660D">
        <w:t>limnion.  Clearly, the data do</w:t>
      </w:r>
      <w:r w:rsidR="00FE1266">
        <w:t xml:space="preserve"> not support this</w:t>
      </w:r>
      <w:r w:rsidR="00190090">
        <w:t xml:space="preserve"> since</w:t>
      </w:r>
      <w:r w:rsidR="00E0660D">
        <w:t xml:space="preserve"> hypolimnetic total phosphorus </w:t>
      </w:r>
      <w:r w:rsidR="00190090">
        <w:t>concentration did not exceed 111</w:t>
      </w:r>
      <w:r w:rsidR="00E0660D">
        <w:t xml:space="preserve"> ppb at any time during the monitoring period</w:t>
      </w:r>
      <w:r w:rsidR="00FE1266">
        <w:t>.</w:t>
      </w:r>
      <w:r w:rsidR="00E0660D">
        <w:t xml:space="preserve">  While we can only speculate as to the </w:t>
      </w:r>
      <w:r w:rsidR="00190090">
        <w:t xml:space="preserve">cause of the </w:t>
      </w:r>
      <w:r w:rsidR="00E0660D">
        <w:t xml:space="preserve">sharp October rise in total phosphorus, it is possible that algal cells (and perhaps other settled solids) </w:t>
      </w:r>
      <w:r w:rsidR="009C1DB1">
        <w:t xml:space="preserve">and associated dissolved phosphorus </w:t>
      </w:r>
      <w:r w:rsidR="00E0660D">
        <w:t>that had accumulated on bottom were re</w:t>
      </w:r>
      <w:r w:rsidR="00791375">
        <w:t>-</w:t>
      </w:r>
      <w:r w:rsidR="00E0660D">
        <w:t>suspended during fall turnover, leading to elevated total phosphorus levels in the pond.</w:t>
      </w:r>
    </w:p>
    <w:p w:rsidR="00F306A1" w:rsidRDefault="00190090" w:rsidP="00724C31">
      <w:r>
        <w:t xml:space="preserve">In November, </w:t>
      </w:r>
      <w:r w:rsidR="002B4BC3">
        <w:t xml:space="preserve">total phosphorus </w:t>
      </w:r>
      <w:r>
        <w:t>conce</w:t>
      </w:r>
      <w:r w:rsidR="002B4BC3">
        <w:t>ntrations dropped sharply again in</w:t>
      </w:r>
      <w:r w:rsidR="009C1DB1">
        <w:t xml:space="preserve"> the pond</w:t>
      </w:r>
      <w:r w:rsidR="002B4BC3">
        <w:t xml:space="preserve"> and at all depths</w:t>
      </w:r>
      <w:r>
        <w:t>, but the ca</w:t>
      </w:r>
      <w:r w:rsidR="009C1DB1">
        <w:t>u</w:t>
      </w:r>
      <w:r>
        <w:t xml:space="preserve">se of this </w:t>
      </w:r>
      <w:r w:rsidR="002B4BC3">
        <w:t xml:space="preserve">drop </w:t>
      </w:r>
      <w:r>
        <w:t xml:space="preserve">is </w:t>
      </w:r>
      <w:r w:rsidR="00A27836">
        <w:t xml:space="preserve">also </w:t>
      </w:r>
      <w:r>
        <w:t>unknown.</w:t>
      </w:r>
      <w:r w:rsidR="00637A73">
        <w:t xml:space="preserve">  I</w:t>
      </w:r>
      <w:r>
        <w:t>f the event that cause</w:t>
      </w:r>
      <w:r w:rsidR="00637A73">
        <w:t>d</w:t>
      </w:r>
      <w:r>
        <w:t xml:space="preserve"> the rapid increase in October was a bottom-related phenomenon, </w:t>
      </w:r>
      <w:r w:rsidR="00637A73">
        <w:t xml:space="preserve">these </w:t>
      </w:r>
      <w:r>
        <w:t>materials</w:t>
      </w:r>
      <w:r w:rsidR="00637A73">
        <w:t xml:space="preserve"> would have been residing in an anoxic environment.  Fall overtu</w:t>
      </w:r>
      <w:r w:rsidR="009C1DB1">
        <w:t xml:space="preserve">rn </w:t>
      </w:r>
      <w:r w:rsidR="00637A73">
        <w:t xml:space="preserve">would have introduced oxygen to all depths of the pond (which is clearly shown in the </w:t>
      </w:r>
      <w:r w:rsidR="009C1DB1">
        <w:t>October and November data) which in turn</w:t>
      </w:r>
      <w:r w:rsidR="00637A73">
        <w:t xml:space="preserve"> could have led </w:t>
      </w:r>
      <w:r w:rsidR="00A27836">
        <w:t xml:space="preserve">to </w:t>
      </w:r>
      <w:r w:rsidR="009C1DB1">
        <w:t xml:space="preserve">the formation </w:t>
      </w:r>
      <w:r w:rsidR="00A27836">
        <w:t xml:space="preserve">of </w:t>
      </w:r>
      <w:r w:rsidR="009C1DB1">
        <w:t>phosphoru</w:t>
      </w:r>
      <w:r w:rsidR="00A27836">
        <w:t>s-scavenging iron oxides and</w:t>
      </w:r>
      <w:r w:rsidR="009C1DB1">
        <w:t xml:space="preserve"> subsequent </w:t>
      </w:r>
      <w:r w:rsidR="00A27836">
        <w:t xml:space="preserve">relatively </w:t>
      </w:r>
      <w:r w:rsidR="009C1DB1">
        <w:t xml:space="preserve">rapid settling of the phosphorus rich iron oxide </w:t>
      </w:r>
      <w:proofErr w:type="spellStart"/>
      <w:r w:rsidR="009C1DB1">
        <w:t>floc</w:t>
      </w:r>
      <w:proofErr w:type="spellEnd"/>
      <w:r w:rsidR="009C1DB1">
        <w:t xml:space="preserve">.  Clearly the phosphorus found in the water column in October came from somewhere, but by November, it was gone.  Some type of internal mechanism seems </w:t>
      </w:r>
      <w:r w:rsidR="002B4BC3">
        <w:t xml:space="preserve">a </w:t>
      </w:r>
      <w:r w:rsidR="009C1DB1">
        <w:t>logical</w:t>
      </w:r>
      <w:r w:rsidR="002B4BC3">
        <w:t xml:space="preserve"> suspect</w:t>
      </w:r>
      <w:r w:rsidR="005C11B9">
        <w:t>, but we cannot say definitively what that mechanism was</w:t>
      </w:r>
      <w:r w:rsidR="009C1DB1">
        <w:t>.</w:t>
      </w:r>
    </w:p>
    <w:p w:rsidR="00E0660D" w:rsidRDefault="009C1DB1" w:rsidP="00724C31">
      <w:r>
        <w:t>That said,</w:t>
      </w:r>
      <w:r w:rsidR="0000275B">
        <w:t xml:space="preserve"> the patterns of total phosphorus levels se</w:t>
      </w:r>
      <w:r w:rsidR="00A27836">
        <w:t xml:space="preserve">en in </w:t>
      </w:r>
      <w:proofErr w:type="spellStart"/>
      <w:r w:rsidR="00A27836">
        <w:t>Sassaquin</w:t>
      </w:r>
      <w:proofErr w:type="spellEnd"/>
      <w:r w:rsidR="00A27836">
        <w:t xml:space="preserve"> Pond</w:t>
      </w:r>
      <w:r w:rsidR="0000275B">
        <w:t xml:space="preserve"> suggest that phosphorus loading from storm water may </w:t>
      </w:r>
      <w:r w:rsidR="002B4BC3">
        <w:t xml:space="preserve">be </w:t>
      </w:r>
      <w:r w:rsidR="0000275B">
        <w:t>play</w:t>
      </w:r>
      <w:r w:rsidR="002B4BC3">
        <w:t>ing</w:t>
      </w:r>
      <w:r w:rsidR="0000275B">
        <w:t xml:space="preserve"> a</w:t>
      </w:r>
      <w:r w:rsidR="002B4BC3">
        <w:t xml:space="preserve"> more important and perhaps</w:t>
      </w:r>
      <w:r w:rsidR="0000275B">
        <w:t xml:space="preserve"> overriding role in the nutrient status of the pond.  In typical lakes and ponds, the</w:t>
      </w:r>
      <w:r w:rsidR="005C11B9">
        <w:t>ir</w:t>
      </w:r>
      <w:r w:rsidR="0000275B">
        <w:t xml:space="preserve"> </w:t>
      </w:r>
      <w:r w:rsidR="005C11B9">
        <w:t>nutrient status during the summer and fall</w:t>
      </w:r>
      <w:r w:rsidR="0000275B">
        <w:t xml:space="preserve"> is established at spring overturn and </w:t>
      </w:r>
      <w:r w:rsidR="002B4BC3">
        <w:t xml:space="preserve">by </w:t>
      </w:r>
      <w:r w:rsidR="0000275B">
        <w:t xml:space="preserve">spring runoff.  </w:t>
      </w:r>
      <w:r w:rsidR="00DF5747">
        <w:t>During this</w:t>
      </w:r>
      <w:r w:rsidR="002B4BC3">
        <w:t xml:space="preserve"> time,</w:t>
      </w:r>
      <w:r w:rsidR="00DF5747">
        <w:t xml:space="preserve"> </w:t>
      </w:r>
      <w:r w:rsidR="002B4BC3">
        <w:t>t</w:t>
      </w:r>
      <w:r w:rsidR="0000275B">
        <w:t>otal phospho</w:t>
      </w:r>
      <w:r w:rsidR="002B4BC3">
        <w:t>rus concentrations are typically</w:t>
      </w:r>
      <w:r w:rsidR="0000275B">
        <w:t xml:space="preserve"> identical, top to bottom</w:t>
      </w:r>
      <w:r w:rsidR="00A27836">
        <w:t>, b</w:t>
      </w:r>
      <w:r w:rsidR="002B4BC3">
        <w:t>ecause the pond is mixing</w:t>
      </w:r>
      <w:r w:rsidR="005C11B9">
        <w:t xml:space="preserve"> top to bottom during this un-stratified period</w:t>
      </w:r>
      <w:r w:rsidR="0000275B">
        <w:t xml:space="preserve">.  </w:t>
      </w:r>
      <w:r w:rsidR="00DF5747">
        <w:t>Later in the year, after</w:t>
      </w:r>
      <w:r w:rsidR="0000275B">
        <w:t xml:space="preserve"> the pond becomes stratified, </w:t>
      </w:r>
      <w:r w:rsidR="00DF5747">
        <w:t>total phosphorus levels tend to decrease in the epilimnion and increase in the hypolimnion as a result of different biological processes affecting nutrient status in the two water zones</w:t>
      </w:r>
      <w:r w:rsidR="00C44A77">
        <w:t>.  We observed</w:t>
      </w:r>
      <w:r w:rsidR="0000275B">
        <w:t xml:space="preserve"> similar trends in </w:t>
      </w:r>
      <w:proofErr w:type="spellStart"/>
      <w:r w:rsidR="0000275B">
        <w:t>Sassaquin</w:t>
      </w:r>
      <w:proofErr w:type="spellEnd"/>
      <w:r w:rsidR="0000275B">
        <w:t>, but in June, total phosphorus levels in the epilimnion were</w:t>
      </w:r>
      <w:r w:rsidR="00BD4CB8">
        <w:t xml:space="preserve"> nearly 5 times higher than in the hypolimnion</w:t>
      </w:r>
      <w:r w:rsidR="00DF5747">
        <w:t xml:space="preserve"> which is inconsistent with the expectation discussed above</w:t>
      </w:r>
      <w:r w:rsidR="00BD4CB8">
        <w:t xml:space="preserve">.  </w:t>
      </w:r>
      <w:r w:rsidR="00DF5747">
        <w:t>In looking at the weather record for spring 2013, w</w:t>
      </w:r>
      <w:r w:rsidR="00BD4CB8">
        <w:t xml:space="preserve">e </w:t>
      </w:r>
      <w:r w:rsidR="00DF5747">
        <w:t>note that the area experienced</w:t>
      </w:r>
      <w:r w:rsidR="00BD4CB8">
        <w:t xml:space="preserve"> a relatively</w:t>
      </w:r>
      <w:r w:rsidR="00DF5747">
        <w:t xml:space="preserve"> dry April and early May</w:t>
      </w:r>
      <w:r w:rsidR="00BD4CB8">
        <w:t>, so during the time the pond was becoming stably stratified, there was not much external loading to</w:t>
      </w:r>
      <w:r w:rsidR="00DF5747">
        <w:t xml:space="preserve"> the pond.  However, heavy</w:t>
      </w:r>
      <w:r w:rsidR="00BD4CB8">
        <w:t xml:space="preserve"> rain events occur</w:t>
      </w:r>
      <w:r w:rsidR="00C44A77">
        <w:t>red in mid-May through mid-June</w:t>
      </w:r>
      <w:r w:rsidR="00BD4CB8">
        <w:t xml:space="preserve"> that likely introduced significant phosphorus loads to the pond.  Since the pond was already stratified, this loading was likely reflected solely in the epilimnion and not at all in the hypolimnion, resulting in the greatly differing values we saw in June. </w:t>
      </w:r>
      <w:r w:rsidR="00C44A77">
        <w:t xml:space="preserve"> If this indirect observation is true, then it would appear that the primary efforts to improve water quality in </w:t>
      </w:r>
      <w:proofErr w:type="spellStart"/>
      <w:r w:rsidR="00C44A77">
        <w:t>Sassaquin</w:t>
      </w:r>
      <w:proofErr w:type="spellEnd"/>
      <w:r w:rsidR="00C44A77">
        <w:t xml:space="preserve"> Pond should focus on controlling external nutrient loading</w:t>
      </w:r>
      <w:r w:rsidR="00977F76">
        <w:t>.  Since there are no natural tributaries, control efforts would have to focus on loading from stormwater runoff</w:t>
      </w:r>
      <w:r w:rsidR="005C11B9">
        <w:t xml:space="preserve"> outfall structures</w:t>
      </w:r>
      <w:r w:rsidR="00C44A77">
        <w:t>.</w:t>
      </w:r>
    </w:p>
    <w:p w:rsidR="005C11B9" w:rsidRDefault="005C11B9" w:rsidP="00724C31"/>
    <w:p w:rsidR="005C11B9" w:rsidRDefault="005C11B9" w:rsidP="00724C31"/>
    <w:p w:rsidR="00C44A77" w:rsidRDefault="00C44A77" w:rsidP="00C44A77">
      <w:pPr>
        <w:rPr>
          <w:b/>
        </w:rPr>
      </w:pPr>
      <w:r>
        <w:rPr>
          <w:b/>
        </w:rPr>
        <w:t>CONCLUSIONS AND RECOMMENDATIONS</w:t>
      </w:r>
    </w:p>
    <w:p w:rsidR="00134691" w:rsidRDefault="00755E45" w:rsidP="00A51A29">
      <w:r>
        <w:t xml:space="preserve">Total phosphorus, dissolved oxygen and temperature data collected in </w:t>
      </w:r>
      <w:proofErr w:type="spellStart"/>
      <w:r>
        <w:t>Sassaquin</w:t>
      </w:r>
      <w:proofErr w:type="spellEnd"/>
      <w:r>
        <w:t xml:space="preserve"> Pond from June to November 2013 suggest that the pond is hyper-eutrophic and stably stratified during the summer and early fall season.  Nutrient levels were extraordinarily high in the epilimnion in June, but declined steadily</w:t>
      </w:r>
      <w:r w:rsidR="00977F76">
        <w:t xml:space="preserve"> (</w:t>
      </w:r>
      <w:r>
        <w:t>except for October</w:t>
      </w:r>
      <w:r w:rsidR="00977F76">
        <w:t>)</w:t>
      </w:r>
      <w:r>
        <w:t xml:space="preserve"> throughout the study period.  During October, total phosphorus level</w:t>
      </w:r>
      <w:r w:rsidR="00977F76">
        <w:t>s</w:t>
      </w:r>
      <w:r>
        <w:t xml:space="preserve"> increased dramatically, probably in response to fall turnover and then quickly declined to their lowest levels of the monitoring period in November.  Total phosphorus concentrations in the hypolimnion were substantially lower than levels in epilimnion during each month.  As expected, </w:t>
      </w:r>
      <w:r w:rsidR="00977F76">
        <w:t xml:space="preserve">hypolimnetic </w:t>
      </w:r>
      <w:r>
        <w:t>levels rose slightly during the summer, probably in response t</w:t>
      </w:r>
      <w:r w:rsidR="00964653">
        <w:t>o reduced dissolved oxygen levels, but then paralleled epilimnetic le</w:t>
      </w:r>
      <w:r w:rsidR="00977F76">
        <w:t>vels, rising in October and</w:t>
      </w:r>
      <w:r w:rsidR="00964653">
        <w:t xml:space="preserve"> dropping to their lowest levels in November.  Surprisingly, measured total phosphorus levels in the hypolimnion did NOT appear to be sufficient to significantly influence total phosphorus levels in the whole lake during fall overturn.  Rather it is postulated that a near-bottom accumulation of decaying algal cells, other settled solids and associated dissolved phosphorus was re-sus</w:t>
      </w:r>
      <w:r w:rsidR="00977F76">
        <w:t>pended during fall overturn, resulting</w:t>
      </w:r>
      <w:r w:rsidR="00964653">
        <w:t xml:space="preserve"> in sharp, albeit brief, increases in total phosphorus at all depths.</w:t>
      </w:r>
    </w:p>
    <w:p w:rsidR="00964653" w:rsidRDefault="00964653" w:rsidP="00A51A29">
      <w:r>
        <w:t xml:space="preserve">Given the total phosphorus patterns observed in the epilimnion and the hypolimnion, it is speculated that external nutrient loading rather than internal loading is the primary source of total phosphorus to </w:t>
      </w:r>
      <w:proofErr w:type="spellStart"/>
      <w:r>
        <w:t>Sassaquin</w:t>
      </w:r>
      <w:proofErr w:type="spellEnd"/>
      <w:r>
        <w:t xml:space="preserve"> P</w:t>
      </w:r>
      <w:r w:rsidR="00977F76">
        <w:t>ond.  It is known that the principal</w:t>
      </w:r>
      <w:r w:rsidR="007E39EE">
        <w:t xml:space="preserve"> source of </w:t>
      </w:r>
      <w:r>
        <w:t xml:space="preserve">surface runoff </w:t>
      </w:r>
      <w:r w:rsidR="007E39EE">
        <w:t xml:space="preserve">to the pond is </w:t>
      </w:r>
      <w:r>
        <w:t xml:space="preserve">from </w:t>
      </w:r>
      <w:r w:rsidR="007E39EE">
        <w:t xml:space="preserve">stormwater outfalls, but the relative contribution of each is unknown.  It is therefore recommended that a stormwater monitoring program be implemented to better define the role of stormwater runoff in the nutrient dynamics of </w:t>
      </w:r>
      <w:proofErr w:type="spellStart"/>
      <w:r w:rsidR="007E39EE">
        <w:t>Sassaquin</w:t>
      </w:r>
      <w:proofErr w:type="spellEnd"/>
      <w:r w:rsidR="007E39EE">
        <w:t xml:space="preserve"> Pond and to help target remedial efforts toward those outfalls that are contributing the greatest load.  In addition, it is recommended that a concurrent, more inten</w:t>
      </w:r>
      <w:r w:rsidR="005C11B9">
        <w:t>sive in-lake sampling program be</w:t>
      </w:r>
      <w:r w:rsidR="007E39EE">
        <w:t xml:space="preserve"> undertaken to better define nutrient and algal behavior in the lake and relat</w:t>
      </w:r>
      <w:r w:rsidR="006649C2">
        <w:t>e them</w:t>
      </w:r>
      <w:r w:rsidR="007E39EE">
        <w:t xml:space="preserve"> to both external and internal influences.  A definitive program</w:t>
      </w:r>
      <w:r w:rsidR="006649C2">
        <w:t xml:space="preserve"> would require sampling from at least spring turnover to fall turnover and preferably for one full year</w:t>
      </w:r>
      <w:r w:rsidR="00571B67">
        <w:t>.</w:t>
      </w:r>
    </w:p>
    <w:p w:rsidR="00571B67" w:rsidRDefault="00571B67" w:rsidP="00A51A29">
      <w:r>
        <w:t xml:space="preserve">Thank you for the opportunity to assist with </w:t>
      </w:r>
      <w:proofErr w:type="spellStart"/>
      <w:r>
        <w:t>Sassaquin</w:t>
      </w:r>
      <w:proofErr w:type="spellEnd"/>
      <w:r>
        <w:t xml:space="preserve"> Pon</w:t>
      </w:r>
      <w:r w:rsidR="00977F76">
        <w:t xml:space="preserve">d.  If you have any question or </w:t>
      </w:r>
      <w:r>
        <w:t>we can be of further assistance, please don’t hesitate to get in touch.</w:t>
      </w:r>
    </w:p>
    <w:p w:rsidR="00571B67" w:rsidRDefault="00571B67" w:rsidP="00A51A29"/>
    <w:p w:rsidR="00A51A29" w:rsidRDefault="00A51A29" w:rsidP="00A51A29">
      <w:r>
        <w:t>Sincerely,</w:t>
      </w:r>
    </w:p>
    <w:p w:rsidR="00571B67" w:rsidRDefault="00571B67" w:rsidP="00A51A29">
      <w:r>
        <w:t>NORMANDEAU ASSOCIATES, INC.</w:t>
      </w:r>
    </w:p>
    <w:p w:rsidR="00A51A29" w:rsidRDefault="00571B67" w:rsidP="00A51A29">
      <w:r>
        <w:rPr>
          <w:noProof/>
        </w:rPr>
        <w:drawing>
          <wp:inline distT="0" distB="0" distL="0" distR="0">
            <wp:extent cx="1885950" cy="619125"/>
            <wp:effectExtent l="0" t="0" r="0" b="9525"/>
            <wp:docPr id="2" name="Picture 2" descr="H:\Hutchins e-signature\Mark Hutchins Signatu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Hutchins e-signature\Mark Hutchins Signature.p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85950" cy="619125"/>
                    </a:xfrm>
                    <a:prstGeom prst="rect">
                      <a:avLst/>
                    </a:prstGeom>
                    <a:noFill/>
                    <a:ln>
                      <a:noFill/>
                    </a:ln>
                  </pic:spPr>
                </pic:pic>
              </a:graphicData>
            </a:graphic>
          </wp:inline>
        </w:drawing>
      </w:r>
    </w:p>
    <w:p w:rsidR="006A0124" w:rsidRPr="00A51A29" w:rsidRDefault="00571B67" w:rsidP="00A51A29">
      <w:r>
        <w:t>Senior Water Resources Engineer</w:t>
      </w:r>
    </w:p>
    <w:sectPr w:rsidR="006A0124" w:rsidRPr="00A51A29" w:rsidSect="00C75D83">
      <w:pgSz w:w="12240" w:h="15840" w:code="1"/>
      <w:pgMar w:top="1440" w:right="1152" w:bottom="1440" w:left="115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C76C0" w:rsidRDefault="00BC76C0" w:rsidP="00AA7247">
      <w:pPr>
        <w:spacing w:after="0"/>
      </w:pPr>
      <w:r>
        <w:separator/>
      </w:r>
    </w:p>
  </w:endnote>
  <w:endnote w:type="continuationSeparator" w:id="0">
    <w:p w:rsidR="00BC76C0" w:rsidRDefault="00BC76C0" w:rsidP="00AA72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Dingbats">
    <w:altName w:val="Mangal"/>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23FA" w:rsidRDefault="00BC76C0" w:rsidP="005F23FA">
    <w:pPr>
      <w:pStyle w:val="Footer"/>
      <w:jc w:val="center"/>
      <w:rPr>
        <w:rFonts w:ascii="Trebuchet MS" w:hAnsi="Trebuchet MS"/>
        <w:sz w:val="18"/>
        <w:szCs w:val="18"/>
      </w:rPr>
    </w:pPr>
    <w:hyperlink r:id="rId1" w:history="1">
      <w:r w:rsidR="005F23FA" w:rsidRPr="003A7116">
        <w:rPr>
          <w:rStyle w:val="Hyperlink"/>
          <w:rFonts w:ascii="Trebuchet MS" w:hAnsi="Trebuchet MS"/>
          <w:color w:val="006EA4"/>
          <w:sz w:val="18"/>
          <w:szCs w:val="18"/>
          <w:u w:val="none"/>
        </w:rPr>
        <w:t>www.normandeau.com</w:t>
      </w:r>
    </w:hyperlink>
  </w:p>
  <w:p w:rsidR="005F23FA" w:rsidRDefault="005F23FA" w:rsidP="005F23FA">
    <w:pPr>
      <w:pStyle w:val="Footer"/>
      <w:jc w:val="center"/>
      <w:rPr>
        <w:rFonts w:ascii="Trebuchet MS" w:hAnsi="Trebuchet MS"/>
        <w:sz w:val="18"/>
        <w:szCs w:val="18"/>
      </w:rPr>
    </w:pPr>
    <w:r>
      <w:rPr>
        <w:rFonts w:ascii="Trebuchet MS" w:hAnsi="Trebuchet MS"/>
        <w:noProof/>
        <w:sz w:val="18"/>
        <w:szCs w:val="18"/>
      </w:rPr>
      <mc:AlternateContent>
        <mc:Choice Requires="wps">
          <w:drawing>
            <wp:anchor distT="0" distB="0" distL="114300" distR="114300" simplePos="0" relativeHeight="251663360" behindDoc="0" locked="0" layoutInCell="1" allowOverlap="1" wp14:anchorId="2225C941" wp14:editId="1EA694D0">
              <wp:simplePos x="0" y="0"/>
              <wp:positionH relativeFrom="column">
                <wp:posOffset>1905</wp:posOffset>
              </wp:positionH>
              <wp:positionV relativeFrom="paragraph">
                <wp:posOffset>27940</wp:posOffset>
              </wp:positionV>
              <wp:extent cx="6290310" cy="40640"/>
              <wp:effectExtent l="0" t="0" r="15240" b="3556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0310" cy="40640"/>
                      </a:xfrm>
                      <a:prstGeom prst="line">
                        <a:avLst/>
                      </a:prstGeom>
                      <a:ln>
                        <a:solidFill>
                          <a:srgbClr val="6ACAD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5"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2pt" to="49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H5wEAACQEAAAOAAAAZHJzL2Uyb0RvYy54bWysU9uO0zAQfUfiHyy/0yRlt0DUdLVqtbys&#10;oNrCB7iOnVj4prFp079n7DRhuUgIxIuV8cw5M+d4sr4bjCYnAUE529BqUVIiLHetsl1DP396ePWW&#10;khCZbZl2VjT0IgK927x8sT77Wixd73QrgCCJDfXZN7SP0ddFEXgvDAsL54XFpHRgWMQQuqIFdkZ2&#10;o4tlWa6Ks4PWg+MiBLzdjUm6yfxSCh4/ShlEJLqhOFvMJ+TzmM5is2Z1B8z3il/HYP8whWHKYtOZ&#10;asciI19B/UJlFAcXnIwL7kzhpFRcZA2opip/UnPomRdZC5oT/GxT+H+0/MNpD0S1Db2lxDKDT3SI&#10;wFTXR7J11qKBDsht8unsQ43lW7uHpJQP9uAfHf8SMFf8kExB8GPZIMGkcpRKhuz7ZfZdDJFwvFwt&#10;35WvK3wejrmbcnWT36Vg9QT2EOJ74QxJHw3VyiZbWM1OjyGm9qyeStK1tukMTqv2QWmdA+iOWw3k&#10;xHARVvfb+92bpAmBz8owStAsZpw/K4kXLUbaJyHRK5y4yu3zloqZlnEubKyuvNpidYJJHGEGln8G&#10;XusTVOQN/hvwjMidnY0z2Cjr4Hfd4zCNLMf6yYFRd7Lg6NrLHqZ3xlXMzl1/m7Trz+MM//5zb74B&#10;AAD//wMAUEsDBBQABgAIAAAAIQBOnmJi2AAAAAUBAAAPAAAAZHJzL2Rvd25yZXYueG1sTI7BTsMw&#10;EETvSPyDtUjcqE2pqibEqRAS4oQEKdzteEki4t3IdtOUr8ec4Diap5lX7Rc/ihlDHJg03K4UCKSW&#10;3UCdhvfD080OREyGnBmZUMMZI+zry4vKlI5P9IZzkzqRRyiWRkOf0lRKGdsevYkrnpBy98nBm5Rj&#10;6KQL5pTH/SjXSm2lNwPlh95M+Nhj+9UcvYbn18by2X7btOXiZc2HEOaPoPX11fJwDyLhkv5g+NXP&#10;6lBnJ8tHclGMGu4yp2GzAZHLolAFCJsptQNZV/K/ff0DAAD//wMAUEsBAi0AFAAGAAgAAAAhALaD&#10;OJL+AAAA4QEAABMAAAAAAAAAAAAAAAAAAAAAAFtDb250ZW50X1R5cGVzXS54bWxQSwECLQAUAAYA&#10;CAAAACEAOP0h/9YAAACUAQAACwAAAAAAAAAAAAAAAAAvAQAAX3JlbHMvLnJlbHNQSwECLQAUAAYA&#10;CAAAACEALvhlh+cBAAAkBAAADgAAAAAAAAAAAAAAAAAuAgAAZHJzL2Uyb0RvYy54bWxQSwECLQAU&#10;AAYACAAAACEATp5iYtgAAAAFAQAADwAAAAAAAAAAAAAAAABBBAAAZHJzL2Rvd25yZXYueG1sUEsF&#10;BgAAAAAEAAQA8wAAAEYFAAAAAA==&#10;" strokecolor="#6acad7">
              <o:lock v:ext="edit" shapetype="f"/>
            </v:line>
          </w:pict>
        </mc:Fallback>
      </mc:AlternateContent>
    </w:r>
  </w:p>
  <w:p w:rsidR="005F23FA" w:rsidRPr="00C8607F" w:rsidRDefault="005F23FA" w:rsidP="005F23FA">
    <w:pPr>
      <w:pStyle w:val="Footer"/>
      <w:jc w:val="center"/>
      <w:rPr>
        <w:rFonts w:ascii="Trebuchet MS" w:hAnsi="Trebuchet MS"/>
        <w:color w:val="006EA4"/>
        <w:sz w:val="18"/>
        <w:szCs w:val="18"/>
      </w:rPr>
    </w:pPr>
    <w:r w:rsidRPr="003A7116">
      <w:rPr>
        <w:rFonts w:ascii="Trebuchet MS" w:hAnsi="Trebuchet MS"/>
        <w:color w:val="006EA4"/>
        <w:sz w:val="18"/>
        <w:szCs w:val="18"/>
      </w:rPr>
      <w:t>Normandeau Associates, Inc.</w:t>
    </w:r>
    <w:r w:rsidRPr="00A8056B">
      <w:rPr>
        <w:color w:val="6ACAD7"/>
        <w:sz w:val="18"/>
        <w:szCs w:val="18"/>
      </w:rPr>
      <w:t xml:space="preserve"> </w:t>
    </w:r>
    <w:r>
      <w:rPr>
        <w:rFonts w:ascii="Dingbats" w:hAnsi="Dingbats"/>
        <w:b/>
        <w:color w:val="6ACAD7"/>
        <w:sz w:val="12"/>
        <w:szCs w:val="12"/>
        <w:vertAlign w:val="superscript"/>
      </w:rPr>
      <w:sym w:font="Wingdings" w:char="F06C"/>
    </w:r>
    <w:r w:rsidRPr="00A8056B">
      <w:rPr>
        <w:color w:val="6ACAD7"/>
        <w:sz w:val="18"/>
        <w:szCs w:val="18"/>
      </w:rPr>
      <w:t xml:space="preserve"> </w:t>
    </w:r>
    <w:r w:rsidRPr="003A7116">
      <w:rPr>
        <w:rFonts w:ascii="Trebuchet MS" w:hAnsi="Trebuchet MS"/>
        <w:color w:val="006EA4"/>
        <w:sz w:val="18"/>
        <w:szCs w:val="18"/>
      </w:rPr>
      <w:t>Corporate: 25 Nashua Rd., Bedford, NH 03110</w:t>
    </w:r>
    <w:r w:rsidRPr="003A7116">
      <w:rPr>
        <w:color w:val="006EA4"/>
        <w:sz w:val="18"/>
        <w:szCs w:val="18"/>
      </w:rPr>
      <w:t xml:space="preserve"> </w:t>
    </w:r>
    <w:r>
      <w:rPr>
        <w:rFonts w:ascii="Dingbats" w:hAnsi="Dingbats"/>
        <w:b/>
        <w:color w:val="6ACAD7"/>
        <w:sz w:val="12"/>
        <w:szCs w:val="12"/>
        <w:vertAlign w:val="superscript"/>
      </w:rPr>
      <w:sym w:font="Wingdings" w:char="F06C"/>
    </w:r>
    <w:r w:rsidRPr="00A8056B">
      <w:rPr>
        <w:color w:val="6ACAD7"/>
        <w:sz w:val="18"/>
        <w:szCs w:val="18"/>
      </w:rPr>
      <w:t xml:space="preserve"> </w:t>
    </w:r>
    <w:r w:rsidRPr="003A7116">
      <w:rPr>
        <w:rFonts w:ascii="Trebuchet MS" w:hAnsi="Trebuchet MS"/>
        <w:color w:val="006EA4"/>
        <w:sz w:val="18"/>
        <w:szCs w:val="18"/>
      </w:rPr>
      <w:t>603.472.5191</w:t>
    </w:r>
  </w:p>
  <w:p w:rsidR="005F23FA" w:rsidRDefault="005F23F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07F" w:rsidRDefault="00BC76C0" w:rsidP="00C8607F">
    <w:pPr>
      <w:pStyle w:val="Footer"/>
      <w:jc w:val="center"/>
      <w:rPr>
        <w:rFonts w:ascii="Trebuchet MS" w:hAnsi="Trebuchet MS"/>
        <w:sz w:val="18"/>
        <w:szCs w:val="18"/>
      </w:rPr>
    </w:pPr>
    <w:hyperlink r:id="rId1" w:history="1">
      <w:r w:rsidR="00C8607F" w:rsidRPr="003A7116">
        <w:rPr>
          <w:rStyle w:val="Hyperlink"/>
          <w:rFonts w:ascii="Trebuchet MS" w:hAnsi="Trebuchet MS"/>
          <w:color w:val="006EA4"/>
          <w:sz w:val="18"/>
          <w:szCs w:val="18"/>
          <w:u w:val="none"/>
        </w:rPr>
        <w:t>www.normandeau.com</w:t>
      </w:r>
    </w:hyperlink>
  </w:p>
  <w:p w:rsidR="00C8607F" w:rsidRDefault="002F0F71" w:rsidP="00C8607F">
    <w:pPr>
      <w:pStyle w:val="Footer"/>
      <w:jc w:val="center"/>
      <w:rPr>
        <w:rFonts w:ascii="Trebuchet MS" w:hAnsi="Trebuchet MS"/>
        <w:sz w:val="18"/>
        <w:szCs w:val="18"/>
      </w:rPr>
    </w:pPr>
    <w:r>
      <w:rPr>
        <w:rFonts w:ascii="Trebuchet MS" w:hAnsi="Trebuchet MS"/>
        <w:noProof/>
        <w:sz w:val="18"/>
        <w:szCs w:val="18"/>
      </w:rPr>
      <mc:AlternateContent>
        <mc:Choice Requires="wps">
          <w:drawing>
            <wp:anchor distT="0" distB="0" distL="114300" distR="114300" simplePos="0" relativeHeight="251661312" behindDoc="0" locked="0" layoutInCell="1" allowOverlap="1" wp14:anchorId="2CDCF543" wp14:editId="33B9C5B6">
              <wp:simplePos x="0" y="0"/>
              <wp:positionH relativeFrom="column">
                <wp:posOffset>1905</wp:posOffset>
              </wp:positionH>
              <wp:positionV relativeFrom="paragraph">
                <wp:posOffset>27940</wp:posOffset>
              </wp:positionV>
              <wp:extent cx="6290310" cy="40640"/>
              <wp:effectExtent l="0" t="0" r="15240" b="3556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90310" cy="40640"/>
                      </a:xfrm>
                      <a:prstGeom prst="line">
                        <a:avLst/>
                      </a:prstGeom>
                      <a:ln>
                        <a:solidFill>
                          <a:srgbClr val="6ACAD7"/>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pt,2.2pt" to="495.4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CKG5wEAACQEAAAOAAAAZHJzL2Uyb0RvYy54bWysU9uO0zAQfUfiHyy/0ySlKhA1Xa1aLS8r&#10;qOjyAa5jJxa2x7JNm/49Y6cJy0VCIF6sjGfOmTnHk83dYDQ5Cx8U2IZWi5ISYTm0ynYN/fz08Oot&#10;JSEy2zINVjT0KgK92758sbm4WiyhB90KT5DEhvriGtrH6OqiCLwXhoUFOGExKcEbFjH0XdF6dkF2&#10;o4tlWa6LC/jWeeAiBLzdj0m6zfxSCh4/ShlEJLqhOFvMp8/nKZ3FdsPqzjPXK34bg/3DFIYpi01n&#10;qj2LjHz16hcqo7iHADIuOJgCpFRcZA2opip/UnPsmRNZC5oT3GxT+H+0/MP54IlqG7qixDKDT3SM&#10;nqmuj2QH1qKB4Mkq+XRxocbynT34pJQP9ugegX8JmCt+SKYguLFskN6kcpRKhuz7dfZdDJFwvFwv&#10;35WvK3wejrlVuV7ldylYPYGdD/G9AEPSR0O1sskWVrPzY4ipPaunknStbToDaNU+KK1z4LvTTnty&#10;ZrgI6/vd/f5N0oTAZ2UYJWgWM86flcSrFiPtJyHRK5y4yu3zloqZlnEubKxuvNpidYJJHGEGln8G&#10;3uoTVOQN/hvwjMidwcYZbJQF/7vucZhGlmP95MCoO1lwgvZ68NM74ypm526/Tdr153GGf/+5t98A&#10;AAD//wMAUEsDBBQABgAIAAAAIQBOnmJi2AAAAAUBAAAPAAAAZHJzL2Rvd25yZXYueG1sTI7BTsMw&#10;EETvSPyDtUjcqE2pqibEqRAS4oQEKdzteEki4t3IdtOUr8ec4Diap5lX7Rc/ihlDHJg03K4UCKSW&#10;3UCdhvfD080OREyGnBmZUMMZI+zry4vKlI5P9IZzkzqRRyiWRkOf0lRKGdsevYkrnpBy98nBm5Rj&#10;6KQL5pTH/SjXSm2lNwPlh95M+Nhj+9UcvYbn18by2X7btOXiZc2HEOaPoPX11fJwDyLhkv5g+NXP&#10;6lBnJ8tHclGMGu4yp2GzAZHLolAFCJsptQNZV/K/ff0DAAD//wMAUEsBAi0AFAAGAAgAAAAhALaD&#10;OJL+AAAA4QEAABMAAAAAAAAAAAAAAAAAAAAAAFtDb250ZW50X1R5cGVzXS54bWxQSwECLQAUAAYA&#10;CAAAACEAOP0h/9YAAACUAQAACwAAAAAAAAAAAAAAAAAvAQAAX3JlbHMvLnJlbHNQSwECLQAUAAYA&#10;CAAAACEAFSQihucBAAAkBAAADgAAAAAAAAAAAAAAAAAuAgAAZHJzL2Uyb0RvYy54bWxQSwECLQAU&#10;AAYACAAAACEATp5iYtgAAAAFAQAADwAAAAAAAAAAAAAAAABBBAAAZHJzL2Rvd25yZXYueG1sUEsF&#10;BgAAAAAEAAQA8wAAAEYFAAAAAA==&#10;" strokecolor="#6acad7">
              <o:lock v:ext="edit" shapetype="f"/>
            </v:line>
          </w:pict>
        </mc:Fallback>
      </mc:AlternateContent>
    </w:r>
  </w:p>
  <w:p w:rsidR="00C8607F" w:rsidRPr="00C8607F" w:rsidRDefault="00C8607F" w:rsidP="00C8607F">
    <w:pPr>
      <w:pStyle w:val="Footer"/>
      <w:jc w:val="center"/>
      <w:rPr>
        <w:rFonts w:ascii="Trebuchet MS" w:hAnsi="Trebuchet MS"/>
        <w:color w:val="006EA4"/>
        <w:sz w:val="18"/>
        <w:szCs w:val="18"/>
      </w:rPr>
    </w:pPr>
    <w:r w:rsidRPr="003A7116">
      <w:rPr>
        <w:rFonts w:ascii="Trebuchet MS" w:hAnsi="Trebuchet MS"/>
        <w:color w:val="006EA4"/>
        <w:sz w:val="18"/>
        <w:szCs w:val="18"/>
      </w:rPr>
      <w:t>Normandeau Associates, Inc.</w:t>
    </w:r>
    <w:r w:rsidRPr="00A8056B">
      <w:rPr>
        <w:color w:val="6ACAD7"/>
        <w:sz w:val="18"/>
        <w:szCs w:val="18"/>
      </w:rPr>
      <w:t xml:space="preserve"> </w:t>
    </w:r>
    <w:r>
      <w:rPr>
        <w:rFonts w:ascii="Dingbats" w:hAnsi="Dingbats"/>
        <w:b/>
        <w:color w:val="6ACAD7"/>
        <w:sz w:val="12"/>
        <w:szCs w:val="12"/>
        <w:vertAlign w:val="superscript"/>
      </w:rPr>
      <w:sym w:font="Wingdings" w:char="F06C"/>
    </w:r>
    <w:r w:rsidRPr="00A8056B">
      <w:rPr>
        <w:color w:val="6ACAD7"/>
        <w:sz w:val="18"/>
        <w:szCs w:val="18"/>
      </w:rPr>
      <w:t xml:space="preserve"> </w:t>
    </w:r>
    <w:r w:rsidRPr="003A7116">
      <w:rPr>
        <w:rFonts w:ascii="Trebuchet MS" w:hAnsi="Trebuchet MS"/>
        <w:color w:val="006EA4"/>
        <w:sz w:val="18"/>
        <w:szCs w:val="18"/>
      </w:rPr>
      <w:t>Corporate: 25 Nashua Rd., Bedford, NH 03110</w:t>
    </w:r>
    <w:r w:rsidRPr="003A7116">
      <w:rPr>
        <w:color w:val="006EA4"/>
        <w:sz w:val="18"/>
        <w:szCs w:val="18"/>
      </w:rPr>
      <w:t xml:space="preserve"> </w:t>
    </w:r>
    <w:r>
      <w:rPr>
        <w:rFonts w:ascii="Dingbats" w:hAnsi="Dingbats"/>
        <w:b/>
        <w:color w:val="6ACAD7"/>
        <w:sz w:val="12"/>
        <w:szCs w:val="12"/>
        <w:vertAlign w:val="superscript"/>
      </w:rPr>
      <w:sym w:font="Wingdings" w:char="F06C"/>
    </w:r>
    <w:r w:rsidRPr="00A8056B">
      <w:rPr>
        <w:color w:val="6ACAD7"/>
        <w:sz w:val="18"/>
        <w:szCs w:val="18"/>
      </w:rPr>
      <w:t xml:space="preserve"> </w:t>
    </w:r>
    <w:r w:rsidRPr="003A7116">
      <w:rPr>
        <w:rFonts w:ascii="Trebuchet MS" w:hAnsi="Trebuchet MS"/>
        <w:color w:val="006EA4"/>
        <w:sz w:val="18"/>
        <w:szCs w:val="18"/>
      </w:rPr>
      <w:t>603.472.5191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C76C0" w:rsidRDefault="00BC76C0" w:rsidP="00AA7247">
      <w:pPr>
        <w:spacing w:after="0"/>
      </w:pPr>
      <w:r>
        <w:separator/>
      </w:r>
    </w:p>
  </w:footnote>
  <w:footnote w:type="continuationSeparator" w:id="0">
    <w:p w:rsidR="00BC76C0" w:rsidRDefault="00BC76C0" w:rsidP="00AA7247">
      <w:pPr>
        <w:spacing w:after="0"/>
      </w:pPr>
      <w:r>
        <w:continuationSeparator/>
      </w:r>
    </w:p>
  </w:footnote>
  <w:footnote w:id="1">
    <w:p w:rsidR="00EC2629" w:rsidRDefault="00EC2629">
      <w:pPr>
        <w:pStyle w:val="FootnoteText"/>
      </w:pPr>
      <w:r>
        <w:rPr>
          <w:rStyle w:val="FootnoteReference"/>
        </w:rPr>
        <w:footnoteRef/>
      </w:r>
      <w:r>
        <w:t xml:space="preserve"> </w:t>
      </w:r>
      <w:proofErr w:type="spellStart"/>
      <w:proofErr w:type="gramStart"/>
      <w:r w:rsidR="0047335C">
        <w:t>Baystate</w:t>
      </w:r>
      <w:proofErr w:type="spellEnd"/>
      <w:r w:rsidR="0047335C">
        <w:t xml:space="preserve"> Environmental Consultants.</w:t>
      </w:r>
      <w:proofErr w:type="gramEnd"/>
      <w:r w:rsidR="0047335C">
        <w:t xml:space="preserve"> 1987. A Preliminary Evaluation of </w:t>
      </w:r>
      <w:proofErr w:type="spellStart"/>
      <w:r w:rsidR="0047335C">
        <w:t>Sassaquin</w:t>
      </w:r>
      <w:proofErr w:type="spellEnd"/>
      <w:r w:rsidR="0047335C">
        <w:t xml:space="preserve"> Pond and its Watershed. </w:t>
      </w:r>
      <w:proofErr w:type="gramStart"/>
      <w:r w:rsidR="0047335C">
        <w:t>Prepared for the City of New Bedford.</w:t>
      </w:r>
      <w:proofErr w:type="gramEnd"/>
      <w:r w:rsidR="0047335C">
        <w:t xml:space="preserve"> 42pp.</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7247" w:rsidRDefault="003A7116" w:rsidP="00C8607F">
    <w:pPr>
      <w:pStyle w:val="Header"/>
      <w:spacing w:after="40"/>
    </w:pPr>
    <w:r>
      <w:rPr>
        <w:noProof/>
      </w:rPr>
      <w:drawing>
        <wp:inline distT="0" distB="0" distL="0" distR="0" wp14:anchorId="0B853F54" wp14:editId="11DB38FC">
          <wp:extent cx="859536" cy="4572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ndeau Logo 2 color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9536" cy="457200"/>
                  </a:xfrm>
                  <a:prstGeom prst="rect">
                    <a:avLst/>
                  </a:prstGeom>
                </pic:spPr>
              </pic:pic>
            </a:graphicData>
          </a:graphic>
        </wp:inline>
      </w:drawing>
    </w:r>
  </w:p>
  <w:p w:rsidR="00D37541" w:rsidRDefault="00D37541" w:rsidP="00C8607F">
    <w:pPr>
      <w:pStyle w:val="Header"/>
      <w:spacing w:after="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607F" w:rsidRDefault="00C8607F" w:rsidP="00C8607F">
    <w:pPr>
      <w:pStyle w:val="Header"/>
    </w:pPr>
    <w:r>
      <w:rPr>
        <w:noProof/>
      </w:rPr>
      <w:drawing>
        <wp:inline distT="0" distB="0" distL="0" distR="0" wp14:anchorId="77A7AD00" wp14:editId="76A4D71A">
          <wp:extent cx="1642425" cy="871430"/>
          <wp:effectExtent l="0" t="0" r="0" b="508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ormandeau Logo 2 color jp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51901" cy="876458"/>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EB3703"/>
    <w:multiLevelType w:val="hybridMultilevel"/>
    <w:tmpl w:val="253611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A7247"/>
    <w:rsid w:val="0000275B"/>
    <w:rsid w:val="000254C5"/>
    <w:rsid w:val="000259C7"/>
    <w:rsid w:val="00052D57"/>
    <w:rsid w:val="00054829"/>
    <w:rsid w:val="000636FC"/>
    <w:rsid w:val="00065F44"/>
    <w:rsid w:val="00072D70"/>
    <w:rsid w:val="001110EA"/>
    <w:rsid w:val="001140A0"/>
    <w:rsid w:val="0011453C"/>
    <w:rsid w:val="00134691"/>
    <w:rsid w:val="001432E5"/>
    <w:rsid w:val="001543C0"/>
    <w:rsid w:val="0015609C"/>
    <w:rsid w:val="001721D3"/>
    <w:rsid w:val="00190090"/>
    <w:rsid w:val="001B042B"/>
    <w:rsid w:val="001B0DB1"/>
    <w:rsid w:val="002846D1"/>
    <w:rsid w:val="002A4425"/>
    <w:rsid w:val="002B3E80"/>
    <w:rsid w:val="002B4BC3"/>
    <w:rsid w:val="002F0F71"/>
    <w:rsid w:val="0033215A"/>
    <w:rsid w:val="00351E1E"/>
    <w:rsid w:val="00374A87"/>
    <w:rsid w:val="003810DB"/>
    <w:rsid w:val="00386BE6"/>
    <w:rsid w:val="003A7116"/>
    <w:rsid w:val="003C3208"/>
    <w:rsid w:val="004241EE"/>
    <w:rsid w:val="00466F7C"/>
    <w:rsid w:val="0047335C"/>
    <w:rsid w:val="00477390"/>
    <w:rsid w:val="004D044E"/>
    <w:rsid w:val="004E1B4D"/>
    <w:rsid w:val="00516840"/>
    <w:rsid w:val="00525562"/>
    <w:rsid w:val="00540E3E"/>
    <w:rsid w:val="00553EDA"/>
    <w:rsid w:val="00571B67"/>
    <w:rsid w:val="0057650A"/>
    <w:rsid w:val="00585905"/>
    <w:rsid w:val="005C11B9"/>
    <w:rsid w:val="005E2ED9"/>
    <w:rsid w:val="005F23FA"/>
    <w:rsid w:val="00620177"/>
    <w:rsid w:val="0063274E"/>
    <w:rsid w:val="00637A73"/>
    <w:rsid w:val="00652292"/>
    <w:rsid w:val="006539FF"/>
    <w:rsid w:val="006649C2"/>
    <w:rsid w:val="006A0124"/>
    <w:rsid w:val="006B5416"/>
    <w:rsid w:val="00724C31"/>
    <w:rsid w:val="00736B40"/>
    <w:rsid w:val="00740071"/>
    <w:rsid w:val="00755E45"/>
    <w:rsid w:val="00763909"/>
    <w:rsid w:val="00791375"/>
    <w:rsid w:val="007B2907"/>
    <w:rsid w:val="007B39DE"/>
    <w:rsid w:val="007E39EE"/>
    <w:rsid w:val="008062DF"/>
    <w:rsid w:val="00815DBC"/>
    <w:rsid w:val="008410F3"/>
    <w:rsid w:val="0084630E"/>
    <w:rsid w:val="0086101A"/>
    <w:rsid w:val="00893BD6"/>
    <w:rsid w:val="008C3E00"/>
    <w:rsid w:val="008C5C01"/>
    <w:rsid w:val="008E2813"/>
    <w:rsid w:val="0090000B"/>
    <w:rsid w:val="00937EB1"/>
    <w:rsid w:val="00964653"/>
    <w:rsid w:val="00977F76"/>
    <w:rsid w:val="009C1DB1"/>
    <w:rsid w:val="009C234F"/>
    <w:rsid w:val="00A022A1"/>
    <w:rsid w:val="00A05D38"/>
    <w:rsid w:val="00A07E12"/>
    <w:rsid w:val="00A21093"/>
    <w:rsid w:val="00A27836"/>
    <w:rsid w:val="00A46383"/>
    <w:rsid w:val="00A51A29"/>
    <w:rsid w:val="00A8056B"/>
    <w:rsid w:val="00AA7247"/>
    <w:rsid w:val="00AC12C4"/>
    <w:rsid w:val="00AE4C1D"/>
    <w:rsid w:val="00B07ACA"/>
    <w:rsid w:val="00B506AA"/>
    <w:rsid w:val="00B61F5B"/>
    <w:rsid w:val="00BA4128"/>
    <w:rsid w:val="00BC76C0"/>
    <w:rsid w:val="00BD4CB8"/>
    <w:rsid w:val="00C20F8D"/>
    <w:rsid w:val="00C3327E"/>
    <w:rsid w:val="00C44A77"/>
    <w:rsid w:val="00C45E0D"/>
    <w:rsid w:val="00C75D83"/>
    <w:rsid w:val="00C8607F"/>
    <w:rsid w:val="00C9559F"/>
    <w:rsid w:val="00C97C38"/>
    <w:rsid w:val="00D03F41"/>
    <w:rsid w:val="00D1116E"/>
    <w:rsid w:val="00D37541"/>
    <w:rsid w:val="00D7340A"/>
    <w:rsid w:val="00DA1F5F"/>
    <w:rsid w:val="00DE3A35"/>
    <w:rsid w:val="00DF5747"/>
    <w:rsid w:val="00DF6CD2"/>
    <w:rsid w:val="00E0660D"/>
    <w:rsid w:val="00E11540"/>
    <w:rsid w:val="00E14FF1"/>
    <w:rsid w:val="00E446FB"/>
    <w:rsid w:val="00E44E40"/>
    <w:rsid w:val="00E86680"/>
    <w:rsid w:val="00E90369"/>
    <w:rsid w:val="00EB0706"/>
    <w:rsid w:val="00EB6873"/>
    <w:rsid w:val="00EB6C59"/>
    <w:rsid w:val="00EC2629"/>
    <w:rsid w:val="00F278C7"/>
    <w:rsid w:val="00F306A1"/>
    <w:rsid w:val="00F379A2"/>
    <w:rsid w:val="00F6225D"/>
    <w:rsid w:val="00F634B9"/>
    <w:rsid w:val="00F804DC"/>
    <w:rsid w:val="00F82436"/>
    <w:rsid w:val="00FD30F2"/>
    <w:rsid w:val="00FE12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383"/>
    <w:pPr>
      <w:spacing w:before="120" w:after="120" w:line="240" w:lineRule="auto"/>
    </w:pPr>
    <w:rPr>
      <w:rFonts w:ascii="Palatino Linotype" w:hAnsi="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247"/>
    <w:pPr>
      <w:tabs>
        <w:tab w:val="center" w:pos="4680"/>
        <w:tab w:val="right" w:pos="9360"/>
      </w:tabs>
      <w:spacing w:before="0" w:after="0"/>
    </w:pPr>
    <w:rPr>
      <w:rFonts w:asciiTheme="minorHAnsi" w:hAnsiTheme="minorHAnsi"/>
    </w:rPr>
  </w:style>
  <w:style w:type="character" w:customStyle="1" w:styleId="HeaderChar">
    <w:name w:val="Header Char"/>
    <w:basedOn w:val="DefaultParagraphFont"/>
    <w:link w:val="Header"/>
    <w:uiPriority w:val="99"/>
    <w:rsid w:val="00AA7247"/>
  </w:style>
  <w:style w:type="paragraph" w:styleId="Footer">
    <w:name w:val="footer"/>
    <w:basedOn w:val="Normal"/>
    <w:link w:val="FooterChar"/>
    <w:uiPriority w:val="99"/>
    <w:unhideWhenUsed/>
    <w:rsid w:val="00AA7247"/>
    <w:pPr>
      <w:tabs>
        <w:tab w:val="center" w:pos="4680"/>
        <w:tab w:val="right" w:pos="9360"/>
      </w:tabs>
      <w:spacing w:before="0" w:after="0"/>
    </w:pPr>
    <w:rPr>
      <w:rFonts w:asciiTheme="minorHAnsi" w:hAnsiTheme="minorHAnsi"/>
    </w:rPr>
  </w:style>
  <w:style w:type="character" w:customStyle="1" w:styleId="FooterChar">
    <w:name w:val="Footer Char"/>
    <w:basedOn w:val="DefaultParagraphFont"/>
    <w:link w:val="Footer"/>
    <w:uiPriority w:val="99"/>
    <w:rsid w:val="00AA7247"/>
  </w:style>
  <w:style w:type="paragraph" w:styleId="BalloonText">
    <w:name w:val="Balloon Text"/>
    <w:basedOn w:val="Normal"/>
    <w:link w:val="BalloonTextChar"/>
    <w:uiPriority w:val="99"/>
    <w:semiHidden/>
    <w:unhideWhenUsed/>
    <w:rsid w:val="00AA724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247"/>
    <w:rPr>
      <w:rFonts w:ascii="Tahoma" w:hAnsi="Tahoma" w:cs="Tahoma"/>
      <w:sz w:val="16"/>
      <w:szCs w:val="16"/>
    </w:rPr>
  </w:style>
  <w:style w:type="character" w:styleId="Hyperlink">
    <w:name w:val="Hyperlink"/>
    <w:basedOn w:val="DefaultParagraphFont"/>
    <w:uiPriority w:val="99"/>
    <w:unhideWhenUsed/>
    <w:rsid w:val="00C97C38"/>
    <w:rPr>
      <w:color w:val="0000FF" w:themeColor="hyperlink"/>
      <w:u w:val="single"/>
    </w:rPr>
  </w:style>
  <w:style w:type="paragraph" w:customStyle="1" w:styleId="ReturnAddress">
    <w:name w:val="Return Address"/>
    <w:qFormat/>
    <w:rsid w:val="00E11540"/>
    <w:pPr>
      <w:spacing w:after="0" w:line="240" w:lineRule="auto"/>
    </w:pPr>
    <w:rPr>
      <w:rFonts w:ascii="Palatino Linotype" w:hAnsi="Palatino Linotype"/>
    </w:rPr>
  </w:style>
  <w:style w:type="paragraph" w:customStyle="1" w:styleId="Return">
    <w:name w:val="Return"/>
    <w:qFormat/>
    <w:rsid w:val="00A51A29"/>
    <w:pPr>
      <w:spacing w:after="0" w:line="240" w:lineRule="auto"/>
    </w:pPr>
    <w:rPr>
      <w:rFonts w:ascii="Palatino Linotype" w:hAnsi="Palatino Linotype"/>
    </w:rPr>
  </w:style>
  <w:style w:type="paragraph" w:styleId="FootnoteText">
    <w:name w:val="footnote text"/>
    <w:basedOn w:val="Normal"/>
    <w:link w:val="FootnoteTextChar"/>
    <w:uiPriority w:val="99"/>
    <w:semiHidden/>
    <w:unhideWhenUsed/>
    <w:rsid w:val="00EC2629"/>
    <w:pPr>
      <w:spacing w:before="0" w:after="0"/>
    </w:pPr>
    <w:rPr>
      <w:sz w:val="20"/>
      <w:szCs w:val="20"/>
    </w:rPr>
  </w:style>
  <w:style w:type="character" w:customStyle="1" w:styleId="FootnoteTextChar">
    <w:name w:val="Footnote Text Char"/>
    <w:basedOn w:val="DefaultParagraphFont"/>
    <w:link w:val="FootnoteText"/>
    <w:uiPriority w:val="99"/>
    <w:semiHidden/>
    <w:rsid w:val="00EC2629"/>
    <w:rPr>
      <w:rFonts w:ascii="Palatino Linotype" w:hAnsi="Palatino Linotype"/>
      <w:sz w:val="20"/>
      <w:szCs w:val="20"/>
    </w:rPr>
  </w:style>
  <w:style w:type="character" w:styleId="FootnoteReference">
    <w:name w:val="footnote reference"/>
    <w:basedOn w:val="DefaultParagraphFont"/>
    <w:uiPriority w:val="99"/>
    <w:semiHidden/>
    <w:unhideWhenUsed/>
    <w:rsid w:val="00EC262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6383"/>
    <w:pPr>
      <w:spacing w:before="120" w:after="120" w:line="240" w:lineRule="auto"/>
    </w:pPr>
    <w:rPr>
      <w:rFonts w:ascii="Palatino Linotype" w:hAnsi="Palatino Linotyp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A7247"/>
    <w:pPr>
      <w:tabs>
        <w:tab w:val="center" w:pos="4680"/>
        <w:tab w:val="right" w:pos="9360"/>
      </w:tabs>
      <w:spacing w:before="0" w:after="0"/>
    </w:pPr>
    <w:rPr>
      <w:rFonts w:asciiTheme="minorHAnsi" w:hAnsiTheme="minorHAnsi"/>
    </w:rPr>
  </w:style>
  <w:style w:type="character" w:customStyle="1" w:styleId="HeaderChar">
    <w:name w:val="Header Char"/>
    <w:basedOn w:val="DefaultParagraphFont"/>
    <w:link w:val="Header"/>
    <w:uiPriority w:val="99"/>
    <w:rsid w:val="00AA7247"/>
  </w:style>
  <w:style w:type="paragraph" w:styleId="Footer">
    <w:name w:val="footer"/>
    <w:basedOn w:val="Normal"/>
    <w:link w:val="FooterChar"/>
    <w:uiPriority w:val="99"/>
    <w:unhideWhenUsed/>
    <w:rsid w:val="00AA7247"/>
    <w:pPr>
      <w:tabs>
        <w:tab w:val="center" w:pos="4680"/>
        <w:tab w:val="right" w:pos="9360"/>
      </w:tabs>
      <w:spacing w:before="0" w:after="0"/>
    </w:pPr>
    <w:rPr>
      <w:rFonts w:asciiTheme="minorHAnsi" w:hAnsiTheme="minorHAnsi"/>
    </w:rPr>
  </w:style>
  <w:style w:type="character" w:customStyle="1" w:styleId="FooterChar">
    <w:name w:val="Footer Char"/>
    <w:basedOn w:val="DefaultParagraphFont"/>
    <w:link w:val="Footer"/>
    <w:uiPriority w:val="99"/>
    <w:rsid w:val="00AA7247"/>
  </w:style>
  <w:style w:type="paragraph" w:styleId="BalloonText">
    <w:name w:val="Balloon Text"/>
    <w:basedOn w:val="Normal"/>
    <w:link w:val="BalloonTextChar"/>
    <w:uiPriority w:val="99"/>
    <w:semiHidden/>
    <w:unhideWhenUsed/>
    <w:rsid w:val="00AA7247"/>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A7247"/>
    <w:rPr>
      <w:rFonts w:ascii="Tahoma" w:hAnsi="Tahoma" w:cs="Tahoma"/>
      <w:sz w:val="16"/>
      <w:szCs w:val="16"/>
    </w:rPr>
  </w:style>
  <w:style w:type="character" w:styleId="Hyperlink">
    <w:name w:val="Hyperlink"/>
    <w:basedOn w:val="DefaultParagraphFont"/>
    <w:uiPriority w:val="99"/>
    <w:unhideWhenUsed/>
    <w:rsid w:val="00C97C38"/>
    <w:rPr>
      <w:color w:val="0000FF" w:themeColor="hyperlink"/>
      <w:u w:val="single"/>
    </w:rPr>
  </w:style>
  <w:style w:type="paragraph" w:customStyle="1" w:styleId="ReturnAddress">
    <w:name w:val="Return Address"/>
    <w:qFormat/>
    <w:rsid w:val="00E11540"/>
    <w:pPr>
      <w:spacing w:after="0" w:line="240" w:lineRule="auto"/>
    </w:pPr>
    <w:rPr>
      <w:rFonts w:ascii="Palatino Linotype" w:hAnsi="Palatino Linotype"/>
    </w:rPr>
  </w:style>
  <w:style w:type="paragraph" w:customStyle="1" w:styleId="Return">
    <w:name w:val="Return"/>
    <w:qFormat/>
    <w:rsid w:val="00A51A29"/>
    <w:pPr>
      <w:spacing w:after="0" w:line="240" w:lineRule="auto"/>
    </w:pPr>
    <w:rPr>
      <w:rFonts w:ascii="Palatino Linotype" w:hAnsi="Palatino Linotype"/>
    </w:rPr>
  </w:style>
  <w:style w:type="paragraph" w:styleId="FootnoteText">
    <w:name w:val="footnote text"/>
    <w:basedOn w:val="Normal"/>
    <w:link w:val="FootnoteTextChar"/>
    <w:uiPriority w:val="99"/>
    <w:semiHidden/>
    <w:unhideWhenUsed/>
    <w:rsid w:val="00EC2629"/>
    <w:pPr>
      <w:spacing w:before="0" w:after="0"/>
    </w:pPr>
    <w:rPr>
      <w:sz w:val="20"/>
      <w:szCs w:val="20"/>
    </w:rPr>
  </w:style>
  <w:style w:type="character" w:customStyle="1" w:styleId="FootnoteTextChar">
    <w:name w:val="Footnote Text Char"/>
    <w:basedOn w:val="DefaultParagraphFont"/>
    <w:link w:val="FootnoteText"/>
    <w:uiPriority w:val="99"/>
    <w:semiHidden/>
    <w:rsid w:val="00EC2629"/>
    <w:rPr>
      <w:rFonts w:ascii="Palatino Linotype" w:hAnsi="Palatino Linotype"/>
      <w:sz w:val="20"/>
      <w:szCs w:val="20"/>
    </w:rPr>
  </w:style>
  <w:style w:type="character" w:styleId="FootnoteReference">
    <w:name w:val="footnote reference"/>
    <w:basedOn w:val="DefaultParagraphFont"/>
    <w:uiPriority w:val="99"/>
    <w:semiHidden/>
    <w:unhideWhenUsed/>
    <w:rsid w:val="00EC262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9515136">
      <w:bodyDiv w:val="1"/>
      <w:marLeft w:val="0"/>
      <w:marRight w:val="0"/>
      <w:marTop w:val="0"/>
      <w:marBottom w:val="0"/>
      <w:divBdr>
        <w:top w:val="none" w:sz="0" w:space="0" w:color="auto"/>
        <w:left w:val="none" w:sz="0" w:space="0" w:color="auto"/>
        <w:bottom w:val="none" w:sz="0" w:space="0" w:color="auto"/>
        <w:right w:val="none" w:sz="0" w:space="0" w:color="auto"/>
      </w:divBdr>
      <w:divsChild>
        <w:div w:id="12852309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4.jpeg"/><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jpeg"/></Relationships>
</file>

<file path=word/_rels/footer1.xml.rels><?xml version="1.0" encoding="UTF-8" standalone="yes"?>
<Relationships xmlns="http://schemas.openxmlformats.org/package/2006/relationships"><Relationship Id="rId1" Type="http://schemas.openxmlformats.org/officeDocument/2006/relationships/hyperlink" Target="http://www.normandeau.com"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www.normandeau.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28D14F-94A3-4842-A46F-15EC2D19E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1544</TotalTime>
  <Pages>1</Pages>
  <Words>2932</Words>
  <Characters>16718</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Gail Bourque</dc:creator>
  <cp:lastModifiedBy>Mark Hutchins</cp:lastModifiedBy>
  <cp:revision>29</cp:revision>
  <cp:lastPrinted>2014-05-05T18:33:00Z</cp:lastPrinted>
  <dcterms:created xsi:type="dcterms:W3CDTF">2014-04-07T20:56:00Z</dcterms:created>
  <dcterms:modified xsi:type="dcterms:W3CDTF">2014-05-12T19:51:00Z</dcterms:modified>
</cp:coreProperties>
</file>